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kinsoku w:val="0"/>
        <w:overflowPunct w:val="0"/>
        <w:autoSpaceDE w:val="0"/>
        <w:autoSpaceDN w:val="0"/>
        <w:spacing w:before="0" w:beforeAutospacing="0" w:after="0" w:afterAutospacing="0" w:line="520" w:lineRule="exact"/>
        <w:jc w:val="both"/>
        <w:rPr>
          <w:rFonts w:ascii="黑体" w:hAnsi="黑体" w:eastAsia="黑体"/>
          <w:sz w:val="32"/>
        </w:rPr>
      </w:pPr>
      <w:r>
        <w:rPr>
          <w:rFonts w:hint="eastAsia" w:ascii="黑体" w:hAnsi="黑体" w:eastAsia="黑体"/>
          <w:sz w:val="32"/>
        </w:rPr>
        <w:t>附件</w:t>
      </w:r>
      <w:r>
        <w:rPr>
          <w:rFonts w:ascii="黑体" w:hAnsi="黑体" w:eastAsia="黑体"/>
          <w:sz w:val="32"/>
        </w:rPr>
        <w:t>1</w:t>
      </w:r>
    </w:p>
    <w:p>
      <w:pPr>
        <w:spacing w:line="56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2020</w:t>
      </w:r>
      <w:r>
        <w:rPr>
          <w:rFonts w:hint="eastAsia" w:ascii="方正小标宋简体" w:eastAsia="方正小标宋简体"/>
          <w:color w:val="000000"/>
          <w:sz w:val="44"/>
          <w:szCs w:val="44"/>
        </w:rPr>
        <w:t>年湖北省高价值知识产权培育工程</w:t>
      </w:r>
    </w:p>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项目申报指南</w:t>
      </w:r>
    </w:p>
    <w:p>
      <w:pPr>
        <w:pStyle w:val="8"/>
        <w:widowControl w:val="0"/>
        <w:kinsoku w:val="0"/>
        <w:overflowPunct w:val="0"/>
        <w:autoSpaceDE w:val="0"/>
        <w:autoSpaceDN w:val="0"/>
        <w:spacing w:before="0" w:beforeAutospacing="0" w:after="0" w:afterAutospacing="0" w:line="520" w:lineRule="exact"/>
        <w:jc w:val="both"/>
        <w:rPr>
          <w:rFonts w:ascii="仿宋_GB2312" w:eastAsia="仿宋_GB2312"/>
          <w:b/>
        </w:rPr>
      </w:pP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为整合各类创新资源，推动产学研服协同，培育一批支撑产业和区域发展的法律状态稳定、权属清晰，具有战略性、前瞻性，能够引领产业创新发展的高价值知识产权，</w:t>
      </w:r>
      <w:r>
        <w:rPr>
          <w:rFonts w:hint="eastAsia" w:ascii="仿宋_GB2312" w:hAnsi="仿宋" w:eastAsia="仿宋_GB2312" w:cs="仿宋"/>
          <w:snapToGrid w:val="0"/>
          <w:color w:val="000000"/>
          <w:kern w:val="0"/>
          <w:sz w:val="32"/>
          <w:szCs w:val="20"/>
        </w:rPr>
        <w:t>服务湖北高质量发展。</w:t>
      </w:r>
      <w:r>
        <w:rPr>
          <w:rFonts w:hint="eastAsia" w:ascii="仿宋_GB2312" w:hAnsi="Arial" w:eastAsia="仿宋_GB2312" w:cs="Arial"/>
          <w:color w:val="000000"/>
          <w:kern w:val="0"/>
          <w:sz w:val="32"/>
          <w:szCs w:val="32"/>
        </w:rPr>
        <w:t>根据湖北省高价值知识产权培育工程实施方案，制定申报指南如下：</w:t>
      </w:r>
    </w:p>
    <w:p>
      <w:pPr>
        <w:pStyle w:val="4"/>
        <w:widowControl w:val="0"/>
        <w:spacing w:before="0" w:beforeAutospacing="0" w:after="0" w:afterAutospacing="0" w:line="520" w:lineRule="exact"/>
        <w:ind w:firstLine="630"/>
        <w:jc w:val="both"/>
        <w:rPr>
          <w:rFonts w:ascii="黑体" w:hAnsi="黑体" w:eastAsia="黑体" w:cs="仿宋"/>
          <w:bCs/>
          <w:color w:val="000000"/>
          <w:sz w:val="32"/>
          <w:szCs w:val="22"/>
        </w:rPr>
      </w:pPr>
      <w:r>
        <w:rPr>
          <w:rFonts w:hint="eastAsia" w:ascii="黑体" w:hAnsi="黑体" w:eastAsia="黑体" w:cs="仿宋"/>
          <w:bCs/>
          <w:color w:val="000000"/>
          <w:sz w:val="32"/>
          <w:szCs w:val="22"/>
        </w:rPr>
        <w:t>一、项目申报重点内容</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（一）专利类</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申报项目属于湖北省重点发展的战略性新兴产业领域及技术领域：</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光电子信息领域：围绕高端应用领域的特种光纤、半导体深紫外</w:t>
      </w:r>
      <w:r>
        <w:rPr>
          <w:rFonts w:ascii="仿宋_GB2312" w:hAnsi="Arial" w:eastAsia="仿宋_GB2312" w:cs="Arial"/>
          <w:color w:val="000000"/>
          <w:kern w:val="0"/>
          <w:sz w:val="32"/>
          <w:szCs w:val="32"/>
        </w:rPr>
        <w:t>LED</w:t>
      </w:r>
      <w:r>
        <w:rPr>
          <w:rFonts w:hint="eastAsia" w:ascii="仿宋_GB2312" w:hAnsi="Arial" w:eastAsia="仿宋_GB2312" w:cs="Arial"/>
          <w:color w:val="000000"/>
          <w:kern w:val="0"/>
          <w:sz w:val="32"/>
          <w:szCs w:val="32"/>
        </w:rPr>
        <w:t>光源、光纤激光器及激光器集成应用系统、</w:t>
      </w:r>
      <w:r>
        <w:rPr>
          <w:rFonts w:ascii="仿宋_GB2312" w:hAnsi="Arial" w:eastAsia="仿宋_GB2312" w:cs="Arial"/>
          <w:color w:val="000000"/>
          <w:kern w:val="0"/>
          <w:sz w:val="32"/>
          <w:szCs w:val="32"/>
        </w:rPr>
        <w:t>5G</w:t>
      </w:r>
      <w:r>
        <w:rPr>
          <w:rFonts w:hint="eastAsia" w:ascii="仿宋_GB2312" w:hAnsi="Arial" w:eastAsia="仿宋_GB2312" w:cs="Arial"/>
          <w:color w:val="000000"/>
          <w:kern w:val="0"/>
          <w:sz w:val="32"/>
          <w:szCs w:val="32"/>
        </w:rPr>
        <w:t>超高速光纤通信系统、芯片以及人工智能高端应用等关键技术高价值专利培育。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新材料和节能环保领域：围绕高铁、航空、航天、汽车、纺织等领域的高端新材料、陶瓷复合材料、特种工程塑料及高通量膜材料、集成电路先进封装材料、新型电池、电容器材料以及新型环保光固化高分子材料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先进制造领域：围绕汽车装备、海洋工程、大型建设结构、航空航天制造技术及装备、工程机械、仪器仪表、检测等装备及制造技术与核心部件等关键技术高价值专利培育。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新能源与新能源汽车领域：围绕新能源关键技术如太阳能光热发电、新能源汽车的电池、电机和电控技术等关键技术高价值专利培育。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高技术服务领域：围绕北斗智能导航定位、大数据智能化分析与传输、存储与安全防护、智能实时翻译技术、人工智能、可穿戴设备、</w:t>
      </w:r>
      <w:r>
        <w:rPr>
          <w:rFonts w:ascii="仿宋_GB2312" w:hAnsi="Arial" w:eastAsia="仿宋_GB2312" w:cs="Arial"/>
          <w:color w:val="000000"/>
          <w:kern w:val="0"/>
          <w:sz w:val="32"/>
          <w:szCs w:val="32"/>
        </w:rPr>
        <w:t>VR/AR/MR</w:t>
      </w:r>
      <w:r>
        <w:rPr>
          <w:rFonts w:hint="eastAsia" w:ascii="仿宋_GB2312" w:hAnsi="Arial" w:eastAsia="仿宋_GB2312" w:cs="Arial"/>
          <w:color w:val="000000"/>
          <w:kern w:val="0"/>
          <w:sz w:val="32"/>
          <w:szCs w:val="32"/>
        </w:rPr>
        <w:t>感知信息融合等关键技术高价值专利培育。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农业领域：围绕农产品加工及质量安全、农业良种培育、农业信息化和特色农业等关键技术高价值专利培育。</w:t>
      </w:r>
    </w:p>
    <w:p>
      <w:pPr>
        <w:snapToGrid w:val="0"/>
        <w:spacing w:line="520" w:lineRule="exact"/>
        <w:ind w:firstLine="64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生物技术和健康领域：围绕神经系统重大疾病与老年病防治、抗肿瘤治疗、靶向药物治疗、抗病毒感染、重大疾病预防与诊治等药品开发及基因检测等关键技术高价值专利培育。</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（二）地理标志类</w:t>
      </w:r>
    </w:p>
    <w:p>
      <w:pPr>
        <w:snapToGrid w:val="0"/>
        <w:spacing w:line="520" w:lineRule="exact"/>
        <w:ind w:firstLine="640" w:firstLineChars="200"/>
        <w:rPr>
          <w:rFonts w:ascii="仿宋_GB2312" w:hAnsi="仿宋" w:eastAsia="仿宋_GB2312" w:cs="仿宋"/>
          <w:snapToGrid w:val="0"/>
          <w:color w:val="000000"/>
          <w:kern w:val="0"/>
          <w:sz w:val="32"/>
          <w:szCs w:val="20"/>
        </w:rPr>
      </w:pPr>
      <w:r>
        <w:rPr>
          <w:rFonts w:hint="eastAsia" w:ascii="仿宋_GB2312" w:hAnsi="Arial" w:eastAsia="仿宋_GB2312" w:cs="Arial"/>
          <w:color w:val="000000"/>
          <w:kern w:val="0"/>
          <w:sz w:val="32"/>
          <w:szCs w:val="32"/>
        </w:rPr>
        <w:t>选择我省具备一定培育基础的水产、茶叶、畜禽、瓜果、蔬菜、粮油、中药材、手工艺品等特色资源中成功注册一批地理标志商标，发挥地理标志商标在精准扶贫、乡村振兴中的引领和示范作用，形成一批在国内、国际具有影响力的特色地理标志类产品或品牌。</w:t>
      </w:r>
    </w:p>
    <w:p>
      <w:pPr>
        <w:pStyle w:val="4"/>
        <w:widowControl w:val="0"/>
        <w:spacing w:before="0" w:beforeAutospacing="0" w:after="0" w:afterAutospacing="0" w:line="520" w:lineRule="exact"/>
        <w:ind w:firstLine="630"/>
        <w:jc w:val="both"/>
        <w:rPr>
          <w:rFonts w:ascii="黑体" w:hAnsi="黑体" w:eastAsia="黑体" w:cs="仿宋"/>
          <w:bCs/>
          <w:color w:val="000000"/>
          <w:sz w:val="32"/>
          <w:szCs w:val="22"/>
        </w:rPr>
      </w:pPr>
      <w:r>
        <w:rPr>
          <w:rFonts w:hint="eastAsia" w:ascii="黑体" w:hAnsi="黑体" w:eastAsia="黑体" w:cs="仿宋"/>
          <w:bCs/>
          <w:color w:val="000000"/>
          <w:sz w:val="32"/>
          <w:szCs w:val="22"/>
        </w:rPr>
        <w:t>二、申报主体和条件</w:t>
      </w:r>
    </w:p>
    <w:p>
      <w:pPr>
        <w:pStyle w:val="9"/>
        <w:widowControl w:val="0"/>
        <w:shd w:val="clear" w:color="auto" w:fill="FFFFFF"/>
        <w:snapToGrid w:val="0"/>
        <w:spacing w:before="0" w:beforeAutospacing="0" w:after="0" w:afterAutospacing="0" w:line="520" w:lineRule="exact"/>
        <w:ind w:firstLine="630" w:firstLineChars="196"/>
        <w:jc w:val="both"/>
        <w:rPr>
          <w:rFonts w:ascii="仿宋_GB2312" w:hAnsi="Arial" w:eastAsia="仿宋_GB2312" w:cs="Arial"/>
          <w:color w:val="000000"/>
          <w:sz w:val="32"/>
          <w:szCs w:val="32"/>
        </w:rPr>
      </w:pPr>
      <w:r>
        <w:rPr>
          <w:rFonts w:hint="eastAsia" w:ascii="仿宋_GB2312" w:hAnsi="Arial" w:eastAsia="仿宋_GB2312" w:cs="Arial"/>
          <w:b/>
          <w:color w:val="000000"/>
          <w:sz w:val="32"/>
          <w:szCs w:val="32"/>
        </w:rPr>
        <w:t>申报主体</w:t>
      </w:r>
      <w:r>
        <w:rPr>
          <w:rFonts w:hint="eastAsia" w:ascii="仿宋_GB2312" w:hAnsi="Arial" w:eastAsia="仿宋_GB2312" w:cs="Arial"/>
          <w:color w:val="000000"/>
          <w:sz w:val="32"/>
          <w:szCs w:val="32"/>
        </w:rPr>
        <w:t>：湖北省内注册的具有独立法人资格的</w:t>
      </w:r>
      <w:r>
        <w:rPr>
          <w:rFonts w:hint="eastAsia" w:ascii="仿宋_GB2312" w:hAnsi="??" w:eastAsia="仿宋_GB2312" w:cs="??_GB2312"/>
          <w:color w:val="000000"/>
          <w:sz w:val="32"/>
          <w:szCs w:val="32"/>
        </w:rPr>
        <w:t>企事业单位</w:t>
      </w:r>
      <w:r>
        <w:rPr>
          <w:rFonts w:hint="eastAsia" w:ascii="仿宋_GB2312" w:hAnsi="Arial" w:eastAsia="仿宋_GB2312" w:cs="Arial"/>
          <w:color w:val="000000"/>
          <w:sz w:val="32"/>
          <w:szCs w:val="32"/>
        </w:rPr>
        <w:t>和机构。</w:t>
      </w:r>
    </w:p>
    <w:p>
      <w:pPr>
        <w:spacing w:line="520" w:lineRule="exact"/>
        <w:ind w:firstLine="640" w:firstLineChars="200"/>
        <w:rPr>
          <w:rFonts w:ascii="楷体_GB2312" w:eastAsia="楷体_GB2312"/>
          <w:color w:val="000000"/>
          <w:sz w:val="32"/>
          <w:szCs w:val="32"/>
        </w:rPr>
      </w:pPr>
      <w:r>
        <w:rPr>
          <w:rFonts w:hint="eastAsia" w:ascii="楷体_GB2312" w:eastAsia="楷体_GB2312"/>
          <w:color w:val="000000"/>
          <w:sz w:val="32"/>
          <w:szCs w:val="32"/>
        </w:rPr>
        <w:t>（一）专利类项目</w:t>
      </w:r>
    </w:p>
    <w:p>
      <w:pPr>
        <w:snapToGrid w:val="0"/>
        <w:spacing w:line="520" w:lineRule="exact"/>
        <w:ind w:firstLine="640" w:firstLineChars="200"/>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企业申报条件和要求</w:t>
      </w:r>
    </w:p>
    <w:p>
      <w:pPr>
        <w:pStyle w:val="10"/>
        <w:widowControl w:val="0"/>
        <w:shd w:val="clear" w:color="auto" w:fill="FFFFFF"/>
        <w:snapToGrid w:val="0"/>
        <w:spacing w:before="0" w:beforeAutospacing="0" w:after="0" w:afterAutospacing="0" w:line="52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）项目申报主体为高新技术企业，且无恶意侵犯他人知识产权、生产销售假冒伪劣产品、污染环境和发生生产安全责任事故等不良现象，社会资信较好。</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）企业经营状态良好</w:t>
      </w:r>
      <w:r>
        <w:rPr>
          <w:rFonts w:ascii="仿宋_GB2312" w:hAnsi="Arial" w:eastAsia="仿宋_GB2312" w:cs="Arial"/>
          <w:color w:val="000000"/>
          <w:sz w:val="32"/>
          <w:szCs w:val="32"/>
        </w:rPr>
        <w:t>,</w:t>
      </w:r>
      <w:r>
        <w:rPr>
          <w:rFonts w:hint="eastAsia" w:ascii="仿宋_GB2312" w:hAnsi="Arial" w:eastAsia="仿宋_GB2312" w:cs="Arial"/>
          <w:color w:val="000000"/>
          <w:sz w:val="32"/>
          <w:szCs w:val="32"/>
        </w:rPr>
        <w:t>能够为申报项目的实施提供必要的配套经费、人员安排和工作保障。</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3</w:t>
      </w:r>
      <w:r>
        <w:rPr>
          <w:rFonts w:hint="eastAsia" w:ascii="仿宋_GB2312" w:hAnsi="Arial" w:eastAsia="仿宋_GB2312" w:cs="Arial"/>
          <w:color w:val="000000"/>
          <w:sz w:val="32"/>
          <w:szCs w:val="32"/>
        </w:rPr>
        <w:t>）企业具有一定的技术优势和核心专利积累，主营业务属于项目申报内容要求产业领域及技术领域。</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4</w:t>
      </w:r>
      <w:r>
        <w:rPr>
          <w:rFonts w:hint="eastAsia" w:ascii="仿宋_GB2312" w:hAnsi="Arial" w:eastAsia="仿宋_GB2312" w:cs="Arial"/>
          <w:color w:val="000000"/>
          <w:sz w:val="32"/>
          <w:szCs w:val="32"/>
        </w:rPr>
        <w:t>）鼓励产学研服相关单位联合申报。</w:t>
      </w:r>
    </w:p>
    <w:p>
      <w:pPr>
        <w:snapToGrid w:val="0"/>
        <w:spacing w:line="520" w:lineRule="exact"/>
        <w:ind w:firstLine="640"/>
        <w:rPr>
          <w:rFonts w:ascii="仿宋_GB2312" w:hAnsi="Arial" w:eastAsia="仿宋_GB2312" w:cs="Arial"/>
          <w:color w:val="000000"/>
          <w:kern w:val="0"/>
          <w:sz w:val="32"/>
          <w:szCs w:val="32"/>
        </w:rPr>
      </w:pPr>
      <w:r>
        <w:rPr>
          <w:rFonts w:ascii="仿宋_GB2312" w:hAnsi="Arial" w:eastAsia="仿宋_GB2312" w:cs="Arial"/>
          <w:color w:val="000000"/>
          <w:kern w:val="0"/>
          <w:sz w:val="32"/>
          <w:szCs w:val="32"/>
        </w:rPr>
        <w:t>2.</w:t>
      </w:r>
      <w:r>
        <w:rPr>
          <w:rFonts w:hint="eastAsia" w:ascii="仿宋_GB2312" w:hAnsi="Arial" w:eastAsia="仿宋_GB2312" w:cs="Arial"/>
          <w:color w:val="000000"/>
          <w:kern w:val="0"/>
          <w:sz w:val="32"/>
          <w:szCs w:val="32"/>
        </w:rPr>
        <w:t>高校院所申报条件和要求</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）项目申报主体具有稳定的科研团队，在项目申报内容要求的技术领域具有一定的技术优势和核心专利积累。</w:t>
      </w:r>
    </w:p>
    <w:p>
      <w:pPr>
        <w:pStyle w:val="10"/>
        <w:widowControl w:val="0"/>
        <w:shd w:val="clear" w:color="auto" w:fill="FFFFFF"/>
        <w:snapToGrid w:val="0"/>
        <w:spacing w:before="0" w:beforeAutospacing="0" w:after="0" w:afterAutospacing="0" w:line="520" w:lineRule="exact"/>
        <w:ind w:firstLine="640"/>
        <w:jc w:val="both"/>
        <w:rPr>
          <w:rFonts w:ascii="仿宋_GB2312" w:hAnsi="仿宋" w:eastAsia="仿宋_GB2312" w:cs="Arial"/>
          <w:color w:val="000000"/>
          <w:sz w:val="32"/>
          <w:szCs w:val="32"/>
        </w:rPr>
      </w:pPr>
      <w:r>
        <w:rPr>
          <w:rFonts w:hint="eastAsia" w:ascii="仿宋_GB2312" w:hAnsi="Arial" w:eastAsia="仿宋_GB2312" w:cs="Arial"/>
          <w:color w:val="000000"/>
          <w:sz w:val="32"/>
          <w:szCs w:val="32"/>
        </w:rPr>
        <w:t>（</w:t>
      </w: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）具备实施项目所需要的软硬件条件，其培育的高价值专利能够并有意愿在湖北省内转化</w:t>
      </w:r>
      <w:r>
        <w:rPr>
          <w:rFonts w:hint="eastAsia" w:ascii="仿宋_GB2312" w:hAnsi="仿宋" w:eastAsia="仿宋_GB2312" w:cs="Arial"/>
          <w:color w:val="000000"/>
          <w:sz w:val="32"/>
          <w:szCs w:val="32"/>
        </w:rPr>
        <w:t>。</w:t>
      </w:r>
    </w:p>
    <w:p>
      <w:pPr>
        <w:pStyle w:val="10"/>
        <w:widowControl w:val="0"/>
        <w:shd w:val="clear" w:color="auto" w:fill="FFFFFF"/>
        <w:snapToGrid w:val="0"/>
        <w:spacing w:before="0" w:beforeAutospacing="0" w:after="0" w:afterAutospacing="0" w:line="520" w:lineRule="exact"/>
        <w:ind w:firstLine="640"/>
        <w:jc w:val="both"/>
        <w:rPr>
          <w:rFonts w:ascii="仿宋_GB2312" w:hAnsi="仿宋" w:eastAsia="仿宋_GB2312" w:cs="Arial"/>
          <w:color w:val="000000"/>
          <w:sz w:val="32"/>
          <w:szCs w:val="32"/>
        </w:rPr>
      </w:pPr>
      <w:r>
        <w:rPr>
          <w:rFonts w:hint="eastAsia" w:ascii="仿宋_GB2312" w:hAnsi="仿宋" w:eastAsia="仿宋_GB2312" w:cs="Arial"/>
          <w:color w:val="000000"/>
          <w:sz w:val="32"/>
          <w:szCs w:val="32"/>
        </w:rPr>
        <w:t>（</w:t>
      </w:r>
      <w:r>
        <w:rPr>
          <w:rFonts w:ascii="仿宋_GB2312" w:hAnsi="仿宋" w:eastAsia="仿宋_GB2312" w:cs="Arial"/>
          <w:color w:val="000000"/>
          <w:sz w:val="32"/>
          <w:szCs w:val="32"/>
        </w:rPr>
        <w:t>3</w:t>
      </w:r>
      <w:r>
        <w:rPr>
          <w:rFonts w:hint="eastAsia" w:ascii="仿宋_GB2312" w:hAnsi="仿宋" w:eastAsia="仿宋_GB2312" w:cs="Arial"/>
          <w:color w:val="000000"/>
          <w:sz w:val="32"/>
          <w:szCs w:val="32"/>
        </w:rPr>
        <w:t>）通过项目实施可衍生多项专利或形成自主创新的高价值专利组合。</w:t>
      </w:r>
    </w:p>
    <w:p>
      <w:pPr>
        <w:spacing w:line="52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（二）地理标志类项目</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ascii="仿宋_GB2312" w:hAnsi="Arial" w:eastAsia="仿宋_GB2312" w:cs="Arial"/>
          <w:color w:val="000000"/>
          <w:sz w:val="32"/>
          <w:szCs w:val="32"/>
        </w:rPr>
        <w:t>1.</w:t>
      </w:r>
      <w:r>
        <w:rPr>
          <w:rFonts w:hint="eastAsia" w:ascii="仿宋_GB2312" w:hAnsi="Arial" w:eastAsia="仿宋_GB2312" w:cs="Arial"/>
          <w:color w:val="000000"/>
          <w:sz w:val="32"/>
          <w:szCs w:val="32"/>
        </w:rPr>
        <w:t>项目申报主体为年产值在</w:t>
      </w:r>
      <w:r>
        <w:rPr>
          <w:rFonts w:ascii="仿宋_GB2312" w:hAnsi="Arial" w:eastAsia="仿宋_GB2312" w:cs="Arial"/>
          <w:color w:val="000000"/>
          <w:sz w:val="32"/>
          <w:szCs w:val="32"/>
        </w:rPr>
        <w:t>500</w:t>
      </w:r>
      <w:r>
        <w:rPr>
          <w:rFonts w:hint="eastAsia" w:ascii="仿宋_GB2312" w:hAnsi="Arial" w:eastAsia="仿宋_GB2312" w:cs="Arial"/>
          <w:color w:val="000000"/>
          <w:sz w:val="32"/>
          <w:szCs w:val="32"/>
        </w:rPr>
        <w:t>万元以上的具备地理标志监督、管理能力的团体、协会或相关组织。</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具备相关工作基础并在两年内（</w:t>
      </w:r>
      <w:r>
        <w:rPr>
          <w:rFonts w:ascii="仿宋_GB2312" w:hAnsi="Arial" w:eastAsia="仿宋_GB2312" w:cs="Arial"/>
          <w:color w:val="000000"/>
          <w:sz w:val="32"/>
          <w:szCs w:val="32"/>
        </w:rPr>
        <w:t>2020-2021</w:t>
      </w:r>
      <w:r>
        <w:rPr>
          <w:rFonts w:hint="eastAsia" w:ascii="仿宋_GB2312" w:hAnsi="Arial" w:eastAsia="仿宋_GB2312" w:cs="Arial"/>
          <w:color w:val="000000"/>
          <w:sz w:val="32"/>
          <w:szCs w:val="32"/>
        </w:rPr>
        <w:t>年）完成地理标志商标注册申请。</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ascii="仿宋_GB2312" w:hAnsi="Arial" w:eastAsia="仿宋_GB2312" w:cs="Arial"/>
          <w:color w:val="000000"/>
          <w:sz w:val="32"/>
          <w:szCs w:val="32"/>
        </w:rPr>
        <w:t>3.</w:t>
      </w:r>
      <w:r>
        <w:rPr>
          <w:rFonts w:hint="eastAsia" w:ascii="仿宋_GB2312" w:hAnsi="Arial" w:eastAsia="仿宋_GB2312" w:cs="Arial"/>
          <w:color w:val="000000"/>
          <w:sz w:val="32"/>
          <w:szCs w:val="32"/>
        </w:rPr>
        <w:t>项目需带动地方特色经济发展，对增加社会就业</w:t>
      </w:r>
      <w:r>
        <w:rPr>
          <w:rFonts w:ascii="仿宋_GB2312" w:hAnsi="Arial" w:eastAsia="仿宋_GB2312" w:cs="Arial"/>
          <w:color w:val="000000"/>
          <w:sz w:val="32"/>
          <w:szCs w:val="32"/>
        </w:rPr>
        <w:t>,</w:t>
      </w:r>
      <w:r>
        <w:rPr>
          <w:rFonts w:hint="eastAsia" w:ascii="仿宋_GB2312" w:hAnsi="Arial" w:eastAsia="仿宋_GB2312" w:cs="Arial"/>
          <w:color w:val="000000"/>
          <w:sz w:val="32"/>
          <w:szCs w:val="32"/>
        </w:rPr>
        <w:t>促进农民增收、农业增效贡献突出。</w:t>
      </w:r>
    </w:p>
    <w:p>
      <w:pPr>
        <w:pStyle w:val="10"/>
        <w:widowControl w:val="0"/>
        <w:shd w:val="clear" w:color="auto" w:fill="FFFFFF"/>
        <w:snapToGrid w:val="0"/>
        <w:spacing w:before="0" w:beforeAutospacing="0" w:after="0" w:afterAutospacing="0" w:line="520" w:lineRule="exact"/>
        <w:ind w:firstLine="641"/>
        <w:jc w:val="both"/>
        <w:rPr>
          <w:rFonts w:ascii="仿宋_GB2312" w:hAnsi="Arial" w:eastAsia="仿宋_GB2312" w:cs="Arial"/>
          <w:color w:val="000000"/>
          <w:sz w:val="32"/>
          <w:szCs w:val="32"/>
        </w:rPr>
      </w:pPr>
      <w:r>
        <w:rPr>
          <w:rFonts w:ascii="仿宋_GB2312" w:hAnsi="Arial" w:eastAsia="仿宋_GB2312" w:cs="Arial"/>
          <w:color w:val="000000"/>
          <w:sz w:val="32"/>
          <w:szCs w:val="32"/>
        </w:rPr>
        <w:t>4.</w:t>
      </w:r>
      <w:r>
        <w:rPr>
          <w:rFonts w:hint="eastAsia" w:ascii="仿宋_GB2312" w:hAnsi="Arial" w:eastAsia="仿宋_GB2312" w:cs="Arial"/>
          <w:color w:val="000000"/>
          <w:sz w:val="32"/>
          <w:szCs w:val="32"/>
        </w:rPr>
        <w:t>各地政府明确支持的区域性公共品牌同等条件下优先。</w:t>
      </w:r>
    </w:p>
    <w:p>
      <w:pPr>
        <w:pStyle w:val="4"/>
        <w:widowControl w:val="0"/>
        <w:shd w:val="clear" w:color="auto" w:fill="FFFFFF"/>
        <w:snapToGrid w:val="0"/>
        <w:spacing w:before="0" w:beforeAutospacing="0" w:after="0" w:afterAutospacing="0" w:line="520" w:lineRule="exact"/>
        <w:ind w:firstLine="480" w:firstLineChars="15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本项目实施周期一般为</w:t>
      </w:r>
      <w:r>
        <w:rPr>
          <w:rFonts w:ascii="仿宋_GB2312" w:hAnsi="Arial" w:eastAsia="仿宋_GB2312" w:cs="Arial"/>
          <w:color w:val="000000"/>
          <w:sz w:val="32"/>
          <w:szCs w:val="32"/>
        </w:rPr>
        <w:t>2</w:t>
      </w:r>
      <w:r>
        <w:rPr>
          <w:rFonts w:hint="eastAsia" w:ascii="仿宋_GB2312" w:hAnsi="Arial" w:eastAsia="仿宋_GB2312" w:cs="Arial"/>
          <w:color w:val="000000"/>
          <w:sz w:val="32"/>
          <w:szCs w:val="32"/>
        </w:rPr>
        <w:t>年。</w:t>
      </w:r>
    </w:p>
    <w:p>
      <w:pPr>
        <w:pStyle w:val="4"/>
        <w:widowControl w:val="0"/>
        <w:shd w:val="clear" w:color="auto" w:fill="FFFFFF"/>
        <w:snapToGrid w:val="0"/>
        <w:spacing w:before="0" w:beforeAutospacing="0" w:after="0" w:afterAutospacing="0" w:line="520" w:lineRule="exact"/>
        <w:ind w:firstLine="480" w:firstLineChars="150"/>
        <w:jc w:val="both"/>
        <w:rPr>
          <w:rFonts w:ascii="仿宋_GB2312" w:hAnsi="Arial" w:eastAsia="仿宋_GB2312" w:cs="Arial"/>
          <w:color w:val="000000"/>
          <w:sz w:val="32"/>
          <w:szCs w:val="32"/>
        </w:rPr>
      </w:pPr>
    </w:p>
    <w:p>
      <w:pPr>
        <w:pStyle w:val="10"/>
        <w:widowControl w:val="0"/>
        <w:shd w:val="clear" w:color="auto" w:fill="FFFFFF"/>
        <w:snapToGrid w:val="0"/>
        <w:spacing w:before="0" w:beforeAutospacing="0" w:after="0" w:afterAutospacing="0" w:line="52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联系方式：</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专利类项目：运用促进处</w:t>
      </w:r>
      <w:r>
        <w:rPr>
          <w:rFonts w:ascii="仿宋_GB2312" w:hAnsi="Arial" w:eastAsia="仿宋_GB2312" w:cs="Arial"/>
          <w:color w:val="000000"/>
          <w:sz w:val="32"/>
          <w:szCs w:val="32"/>
        </w:rPr>
        <w:t xml:space="preserve"> </w:t>
      </w:r>
      <w:r>
        <w:rPr>
          <w:rFonts w:hint="eastAsia" w:ascii="仿宋_GB2312" w:hAnsi="Arial" w:eastAsia="仿宋_GB2312" w:cs="Arial"/>
          <w:color w:val="000000"/>
          <w:sz w:val="32"/>
          <w:szCs w:val="32"/>
        </w:rPr>
        <w:t>刘维</w:t>
      </w:r>
    </w:p>
    <w:p>
      <w:pPr>
        <w:pStyle w:val="10"/>
        <w:widowControl w:val="0"/>
        <w:shd w:val="clear" w:color="auto" w:fill="FFFFFF"/>
        <w:snapToGrid w:val="0"/>
        <w:spacing w:before="0" w:beforeAutospacing="0" w:after="0" w:afterAutospacing="0" w:line="520" w:lineRule="exact"/>
        <w:ind w:firstLine="2560" w:firstLineChars="800"/>
        <w:jc w:val="both"/>
        <w:rPr>
          <w:rFonts w:ascii="仿宋_GB2312" w:hAnsi="Arial" w:eastAsia="仿宋_GB2312" w:cs="Arial"/>
          <w:color w:val="000000"/>
          <w:sz w:val="32"/>
          <w:szCs w:val="32"/>
        </w:rPr>
      </w:pPr>
      <w:r>
        <w:rPr>
          <w:rFonts w:ascii="仿宋_GB2312" w:hAnsi="Arial" w:eastAsia="仿宋_GB2312" w:cs="Arial"/>
          <w:color w:val="000000"/>
          <w:sz w:val="32"/>
          <w:szCs w:val="32"/>
        </w:rPr>
        <w:t>027-86759078  liuw@hbipo.gov.cn</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地理标志类项目：商标和地理标志处</w:t>
      </w:r>
      <w:r>
        <w:rPr>
          <w:rFonts w:ascii="仿宋_GB2312" w:hAnsi="Arial" w:eastAsia="仿宋_GB2312" w:cs="Arial"/>
          <w:color w:val="000000"/>
          <w:sz w:val="32"/>
          <w:szCs w:val="32"/>
        </w:rPr>
        <w:t xml:space="preserve"> </w:t>
      </w:r>
      <w:r>
        <w:rPr>
          <w:rFonts w:hint="eastAsia" w:ascii="仿宋_GB2312" w:hAnsi="Arial" w:eastAsia="仿宋_GB2312" w:cs="Arial"/>
          <w:color w:val="000000"/>
          <w:sz w:val="32"/>
          <w:szCs w:val="32"/>
        </w:rPr>
        <w:t>阚海舟</w:t>
      </w:r>
    </w:p>
    <w:p>
      <w:pPr>
        <w:pStyle w:val="10"/>
        <w:widowControl w:val="0"/>
        <w:shd w:val="clear" w:color="auto" w:fill="FFFFFF"/>
        <w:snapToGrid w:val="0"/>
        <w:spacing w:before="0" w:beforeAutospacing="0" w:after="0" w:afterAutospacing="0" w:line="520" w:lineRule="exact"/>
        <w:ind w:firstLine="3200" w:firstLineChars="1000"/>
        <w:jc w:val="both"/>
        <w:rPr>
          <w:rFonts w:ascii="仿宋_GB2312" w:hAnsi="Arial" w:eastAsia="仿宋_GB2312" w:cs="Arial"/>
          <w:color w:val="000000"/>
          <w:sz w:val="32"/>
          <w:szCs w:val="32"/>
        </w:rPr>
      </w:pPr>
      <w:r>
        <w:rPr>
          <w:rFonts w:ascii="仿宋_GB2312" w:hAnsi="Arial" w:eastAsia="仿宋_GB2312" w:cs="Arial"/>
          <w:color w:val="000000"/>
          <w:sz w:val="32"/>
          <w:szCs w:val="32"/>
        </w:rPr>
        <w:t>027-86759087  925859972@qq.com</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联系地址：</w:t>
      </w:r>
      <w:r>
        <w:rPr>
          <w:rFonts w:hint="eastAsia" w:ascii="仿宋_GB2312" w:hAnsi="Arial" w:eastAsia="仿宋_GB2312" w:cs="Arial"/>
          <w:color w:val="000000"/>
          <w:spacing w:val="-20"/>
          <w:sz w:val="32"/>
          <w:szCs w:val="32"/>
        </w:rPr>
        <w:t>武汉市武昌区公正路</w:t>
      </w:r>
      <w:r>
        <w:rPr>
          <w:rFonts w:ascii="仿宋_GB2312" w:hAnsi="Arial" w:eastAsia="仿宋_GB2312" w:cs="Arial"/>
          <w:color w:val="000000"/>
          <w:spacing w:val="-20"/>
          <w:sz w:val="32"/>
          <w:szCs w:val="32"/>
        </w:rPr>
        <w:t>19</w:t>
      </w:r>
      <w:r>
        <w:rPr>
          <w:rFonts w:hint="eastAsia" w:ascii="仿宋_GB2312" w:hAnsi="Arial" w:eastAsia="仿宋_GB2312" w:cs="Arial"/>
          <w:color w:val="000000"/>
          <w:spacing w:val="-20"/>
          <w:sz w:val="32"/>
          <w:szCs w:val="32"/>
        </w:rPr>
        <w:t>号省知识产权局</w:t>
      </w:r>
      <w:r>
        <w:rPr>
          <w:rFonts w:ascii="仿宋_GB2312" w:hAnsi="Arial" w:eastAsia="仿宋_GB2312" w:cs="Arial"/>
          <w:color w:val="000000"/>
          <w:sz w:val="32"/>
          <w:szCs w:val="32"/>
        </w:rPr>
        <w:t xml:space="preserve">  </w:t>
      </w:r>
    </w:p>
    <w:p>
      <w:pPr>
        <w:pStyle w:val="10"/>
        <w:widowControl w:val="0"/>
        <w:shd w:val="clear" w:color="auto" w:fill="FFFFFF"/>
        <w:snapToGrid w:val="0"/>
        <w:spacing w:before="0" w:beforeAutospacing="0" w:after="0" w:afterAutospacing="0" w:line="520" w:lineRule="exact"/>
        <w:ind w:firstLine="640"/>
        <w:jc w:val="both"/>
        <w:rPr>
          <w:rFonts w:ascii="仿宋_GB2312" w:hAnsi="Arial" w:eastAsia="仿宋_GB2312" w:cs="Arial"/>
          <w:color w:val="000000"/>
          <w:spacing w:val="-20"/>
          <w:sz w:val="32"/>
          <w:szCs w:val="32"/>
        </w:rPr>
      </w:pPr>
      <w:bookmarkStart w:id="0" w:name="_GoBack"/>
      <w:bookmarkEnd w:id="0"/>
      <w:r>
        <w:rPr>
          <w:rFonts w:hint="eastAsia" w:ascii="仿宋_GB2312" w:hAnsi="Arial" w:eastAsia="仿宋_GB2312" w:cs="Arial"/>
          <w:color w:val="000000"/>
          <w:spacing w:val="-20"/>
          <w:sz w:val="32"/>
          <w:szCs w:val="32"/>
        </w:rPr>
        <w:t>邮编：</w:t>
      </w:r>
      <w:r>
        <w:rPr>
          <w:rFonts w:ascii="仿宋_GB2312" w:hAnsi="Arial" w:eastAsia="仿宋_GB2312" w:cs="Arial"/>
          <w:color w:val="000000"/>
          <w:spacing w:val="-20"/>
          <w:sz w:val="32"/>
          <w:szCs w:val="32"/>
        </w:rPr>
        <w:t>430071</w:t>
      </w: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51758"/>
    <w:rsid w:val="6555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Normal (Web)"/>
    <w:basedOn w:val="1"/>
    <w:uiPriority w:val="99"/>
    <w:pPr>
      <w:widowControl/>
      <w:spacing w:before="100" w:beforeAutospacing="1" w:after="100" w:afterAutospacing="1" w:line="480" w:lineRule="auto"/>
      <w:jc w:val="left"/>
    </w:pPr>
    <w:rPr>
      <w:rFonts w:ascii="宋体" w:hAnsi="宋体" w:cs="宋体"/>
      <w:kern w:val="0"/>
      <w:sz w:val="24"/>
      <w:szCs w:val="24"/>
    </w:rPr>
  </w:style>
  <w:style w:type="character" w:styleId="6">
    <w:name w:val="page number"/>
    <w:basedOn w:val="5"/>
    <w:qFormat/>
    <w:uiPriority w:val="99"/>
    <w:rPr>
      <w:rFonts w:cs="Times New Roman"/>
    </w:rPr>
  </w:style>
  <w:style w:type="paragraph" w:customStyle="1" w:styleId="8">
    <w:name w:val="样式1"/>
    <w:basedOn w:val="2"/>
    <w:uiPriority w:val="99"/>
    <w:pPr>
      <w:keepNext w:val="0"/>
      <w:keepLines w:val="0"/>
      <w:widowControl/>
      <w:adjustRightInd w:val="0"/>
      <w:snapToGrid w:val="0"/>
      <w:spacing w:before="100" w:beforeAutospacing="1" w:after="100" w:afterAutospacing="1" w:line="640" w:lineRule="exact"/>
      <w:jc w:val="center"/>
    </w:pPr>
    <w:rPr>
      <w:rFonts w:ascii="小标宋" w:hAnsi="宋体" w:eastAsia="小标宋"/>
      <w:b w:val="0"/>
      <w:bCs w:val="0"/>
      <w:color w:val="000000"/>
      <w:kern w:val="0"/>
      <w:sz w:val="20"/>
      <w:szCs w:val="20"/>
    </w:rPr>
  </w:style>
  <w:style w:type="paragraph" w:customStyle="1" w:styleId="9">
    <w:name w:val="普通(网站)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
    <w:name w:val="普通(网站)3"/>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2019-09-09T13:08:00Z</dcterms:created>
  <dc:creator>chocolate</dc:creator>
  <cp:lastModifiedBy>chocolate</cp:lastModifiedBy>
  <dcterms:modified xsi:type="dcterms:W3CDTF">2019-09-09T13:10:02Z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