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p>
    <w:tbl>
      <w:tblPr>
        <w:tblStyle w:val="15"/>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snapToGrid w:val="0"/>
              <w:spacing w:before="156" w:beforeLines="50" w:line="360" w:lineRule="auto"/>
              <w:jc w:val="center"/>
              <w:rPr>
                <w:rFonts w:asciiTheme="minorEastAsia" w:hAnsiTheme="minorEastAsia" w:eastAsiaTheme="minorEastAsia"/>
                <w:b/>
                <w:sz w:val="28"/>
                <w:szCs w:val="28"/>
              </w:rPr>
            </w:pPr>
          </w:p>
        </w:tc>
      </w:tr>
      <w:tr>
        <w:tblPrEx>
          <w:tblCellMar>
            <w:top w:w="0" w:type="dxa"/>
            <w:left w:w="108" w:type="dxa"/>
            <w:bottom w:w="0" w:type="dxa"/>
            <w:right w:w="108" w:type="dxa"/>
          </w:tblCellMar>
        </w:tblPrEx>
        <w:tc>
          <w:tcPr>
            <w:tcW w:w="8522" w:type="dxa"/>
          </w:tcPr>
          <w:p>
            <w:pPr>
              <w:snapToGrid w:val="0"/>
              <w:spacing w:before="156" w:beforeLines="50" w:line="360" w:lineRule="auto"/>
              <w:jc w:val="center"/>
              <w:rPr>
                <w:rFonts w:asciiTheme="minorEastAsia" w:hAnsiTheme="minorEastAsia" w:eastAsiaTheme="minorEastAsia"/>
                <w:b/>
                <w:sz w:val="28"/>
                <w:szCs w:val="28"/>
              </w:rPr>
            </w:pPr>
          </w:p>
          <w:p>
            <w:pPr>
              <w:snapToGrid w:val="0"/>
              <w:spacing w:before="156" w:beforeLines="50" w:line="360" w:lineRule="auto"/>
              <w:rPr>
                <w:rFonts w:asciiTheme="minorEastAsia" w:hAnsiTheme="minorEastAsia" w:eastAsiaTheme="minorEastAsia"/>
                <w:b/>
                <w:sz w:val="28"/>
                <w:szCs w:val="28"/>
              </w:rPr>
            </w:pP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w:t>
            </w:r>
            <w:r>
              <w:rPr>
                <w:rFonts w:asciiTheme="minorEastAsia" w:hAnsiTheme="minorEastAsia" w:eastAsiaTheme="minorEastAsia"/>
                <w:b/>
                <w:sz w:val="28"/>
                <w:szCs w:val="28"/>
              </w:rPr>
              <w:t>1</w:t>
            </w:r>
            <w:r>
              <w:rPr>
                <w:rFonts w:hint="eastAsia" w:asciiTheme="minorEastAsia" w:hAnsiTheme="minorEastAsia" w:eastAsiaTheme="minorEastAsia"/>
                <w:b/>
                <w:sz w:val="28"/>
                <w:szCs w:val="28"/>
              </w:rPr>
              <w:t>年度部门整体支出</w:t>
            </w: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绩效评价报告</w:t>
            </w: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tbl>
            <w:tblPr>
              <w:tblStyle w:val="15"/>
              <w:tblW w:w="0" w:type="auto"/>
              <w:jc w:val="center"/>
              <w:tblLayout w:type="fixed"/>
              <w:tblCellMar>
                <w:top w:w="0" w:type="dxa"/>
                <w:left w:w="108" w:type="dxa"/>
                <w:bottom w:w="0" w:type="dxa"/>
                <w:right w:w="108" w:type="dxa"/>
              </w:tblCellMar>
            </w:tblPr>
            <w:tblGrid>
              <w:gridCol w:w="5760"/>
              <w:gridCol w:w="1440"/>
            </w:tblGrid>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索引</w:t>
                  </w:r>
                </w:p>
              </w:tc>
              <w:tc>
                <w:tcPr>
                  <w:tcW w:w="1440" w:type="dxa"/>
                </w:tcPr>
                <w:p>
                  <w:pPr>
                    <w:spacing w:line="360" w:lineRule="auto"/>
                    <w:ind w:right="265" w:rightChars="12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页码</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一、部门概况</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二、绩效评价工作情况</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三、评价情况分析及综合评价结论</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四、评审中发现的主要问题</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五、相关建议</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11</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六、绩效评价结果应用</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13</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七、主要经验及做法</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13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八、其他需要说明的情况</w:t>
                  </w:r>
                </w:p>
              </w:tc>
              <w:tc>
                <w:tcPr>
                  <w:tcW w:w="1440" w:type="dxa"/>
                </w:tcPr>
                <w:p>
                  <w:pPr>
                    <w:spacing w:line="360" w:lineRule="auto"/>
                    <w:ind w:right="265" w:rightChars="126"/>
                    <w:jc w:val="center"/>
                    <w:rPr>
                      <w:rFonts w:asciiTheme="minorEastAsia" w:hAnsiTheme="minorEastAsia" w:eastAsiaTheme="minorEastAsia"/>
                      <w:sz w:val="24"/>
                      <w:szCs w:val="24"/>
                    </w:rPr>
                  </w:pPr>
                  <w:r>
                    <w:rPr>
                      <w:rFonts w:asciiTheme="minorEastAsia" w:hAnsiTheme="minorEastAsia" w:eastAsiaTheme="minorEastAsia"/>
                      <w:sz w:val="24"/>
                      <w:szCs w:val="24"/>
                    </w:rPr>
                    <w:t>14</w:t>
                  </w:r>
                </w:p>
              </w:tc>
            </w:tr>
          </w:tbl>
          <w:p>
            <w:pPr>
              <w:rPr>
                <w:rFonts w:asciiTheme="minorEastAsia" w:hAnsiTheme="minorEastAsia" w:eastAsiaTheme="minorEastAsia"/>
              </w:rPr>
            </w:pPr>
          </w:p>
          <w:p>
            <w:pPr>
              <w:snapToGrid w:val="0"/>
              <w:spacing w:before="156" w:beforeLines="50" w:line="360" w:lineRule="auto"/>
              <w:rPr>
                <w:rFonts w:asciiTheme="minorEastAsia" w:hAnsiTheme="minorEastAsia" w:eastAsiaTheme="minorEastAsia"/>
                <w:b/>
                <w:sz w:val="28"/>
                <w:szCs w:val="28"/>
              </w:rPr>
            </w:pPr>
          </w:p>
        </w:tc>
      </w:tr>
    </w:tbl>
    <w:p>
      <w:pPr>
        <w:snapToGrid w:val="0"/>
        <w:spacing w:before="156" w:beforeLines="50" w:line="360" w:lineRule="auto"/>
        <w:rPr>
          <w:rFonts w:asciiTheme="minorEastAsia" w:hAnsiTheme="minorEastAsia" w:eastAsiaTheme="minorEastAsia"/>
          <w:b/>
          <w:sz w:val="28"/>
          <w:szCs w:val="28"/>
        </w:rPr>
        <w:sectPr>
          <w:headerReference r:id="rId3" w:type="first"/>
          <w:footerReference r:id="rId4" w:type="default"/>
          <w:pgSz w:w="11909" w:h="16834"/>
          <w:pgMar w:top="1418" w:right="1701" w:bottom="1418" w:left="1701" w:header="851" w:footer="851" w:gutter="0"/>
          <w:pgNumType w:start="1"/>
          <w:cols w:space="720" w:num="1"/>
          <w:formProt w:val="0"/>
          <w:titlePg/>
          <w:docGrid w:type="lines" w:linePitch="312" w:charSpace="0"/>
        </w:sectPr>
      </w:pPr>
    </w:p>
    <w:p>
      <w:pPr>
        <w:rPr>
          <w:rFonts w:asciiTheme="minorEastAsia" w:hAnsiTheme="minorEastAsia" w:eastAsiaTheme="minorEastAsia"/>
          <w:sz w:val="28"/>
          <w:szCs w:val="28"/>
        </w:rPr>
        <w:sectPr>
          <w:footerReference r:id="rId5" w:type="first"/>
          <w:pgSz w:w="11909" w:h="16834"/>
          <w:pgMar w:top="1418" w:right="1701" w:bottom="1418" w:left="1701" w:header="851" w:footer="851" w:gutter="0"/>
          <w:pgNumType w:start="1"/>
          <w:cols w:space="720" w:num="1"/>
          <w:formProt w:val="0"/>
          <w:titlePg/>
          <w:docGrid w:type="lines" w:linePitch="312" w:charSpace="0"/>
        </w:sectPr>
      </w:pPr>
    </w:p>
    <w:tbl>
      <w:tblPr>
        <w:tblStyle w:val="15"/>
        <w:tblpPr w:leftFromText="180" w:rightFromText="180" w:vertAnchor="text" w:horzAnchor="margin" w:tblpXSpec="center" w:tblpY="-77"/>
        <w:tblOverlap w:val="never"/>
        <w:tblW w:w="8983" w:type="dxa"/>
        <w:jc w:val="center"/>
        <w:tblLayout w:type="fixed"/>
        <w:tblCellMar>
          <w:top w:w="15" w:type="dxa"/>
          <w:left w:w="15" w:type="dxa"/>
          <w:bottom w:w="15" w:type="dxa"/>
          <w:right w:w="15" w:type="dxa"/>
        </w:tblCellMar>
      </w:tblPr>
      <w:tblGrid>
        <w:gridCol w:w="1560"/>
        <w:gridCol w:w="2409"/>
        <w:gridCol w:w="2127"/>
        <w:gridCol w:w="1559"/>
        <w:gridCol w:w="1328"/>
      </w:tblGrid>
      <w:tr>
        <w:tblPrEx>
          <w:tblCellMar>
            <w:top w:w="15" w:type="dxa"/>
            <w:left w:w="15" w:type="dxa"/>
            <w:bottom w:w="15" w:type="dxa"/>
            <w:right w:w="15" w:type="dxa"/>
          </w:tblCellMar>
        </w:tblPrEx>
        <w:trPr>
          <w:trHeight w:val="510" w:hRule="atLeast"/>
          <w:jc w:val="center"/>
        </w:trPr>
        <w:tc>
          <w:tcPr>
            <w:tcW w:w="8983" w:type="dxa"/>
            <w:gridSpan w:val="5"/>
            <w:shd w:val="clear" w:color="auto" w:fill="auto"/>
            <w:vAlign w:val="center"/>
          </w:tcPr>
          <w:p>
            <w:pPr>
              <w:widowControl/>
              <w:jc w:val="center"/>
              <w:textAlignment w:val="center"/>
              <w:rPr>
                <w:rFonts w:ascii="宋体" w:hAnsi="宋体" w:cs="黑体"/>
                <w:b/>
                <w:sz w:val="20"/>
                <w:szCs w:val="20"/>
              </w:rPr>
            </w:pPr>
            <w:r>
              <w:rPr>
                <w:rFonts w:hint="eastAsia" w:ascii="宋体" w:hAnsi="宋体" w:cs="黑体"/>
                <w:b/>
                <w:kern w:val="0"/>
                <w:sz w:val="36"/>
                <w:szCs w:val="20"/>
              </w:rPr>
              <w:t>概   要</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 xml:space="preserve">名 </w:t>
            </w:r>
            <w:r>
              <w:rPr>
                <w:rFonts w:ascii="宋体" w:hAnsi="宋体" w:cs="黑体"/>
                <w:kern w:val="0"/>
                <w:sz w:val="22"/>
              </w:rPr>
              <w:t xml:space="preserve">  </w:t>
            </w:r>
            <w:r>
              <w:rPr>
                <w:rFonts w:hint="eastAsia" w:ascii="宋体" w:hAnsi="宋体" w:cs="黑体"/>
                <w:kern w:val="0"/>
                <w:sz w:val="22"/>
              </w:rPr>
              <w:t>称</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部门整体支出绩效评价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评价年度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2</w:t>
            </w:r>
            <w:r>
              <w:rPr>
                <w:rFonts w:ascii="宋体" w:hAnsi="宋体" w:cs="仿宋_GB2312"/>
                <w:sz w:val="22"/>
              </w:rPr>
              <w:t>021</w:t>
            </w:r>
            <w:r>
              <w:rPr>
                <w:rFonts w:hint="eastAsia" w:ascii="宋体" w:hAnsi="宋体" w:cs="仿宋_GB2312"/>
                <w:sz w:val="22"/>
              </w:rPr>
              <w:t>年度</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黑体"/>
                <w:kern w:val="0"/>
                <w:sz w:val="22"/>
              </w:rPr>
            </w:pPr>
            <w:r>
              <w:rPr>
                <w:rFonts w:hint="eastAsia" w:ascii="宋体" w:hAnsi="宋体" w:cs="黑体"/>
                <w:sz w:val="22"/>
              </w:rPr>
              <w:t>评价机构</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仿宋_GB2312"/>
                <w:sz w:val="20"/>
                <w:szCs w:val="20"/>
              </w:rPr>
            </w:pPr>
            <w:r>
              <w:rPr>
                <w:rFonts w:hint="eastAsia" w:ascii="宋体" w:hAnsi="宋体" w:cs="仿宋_GB2312"/>
                <w:sz w:val="20"/>
                <w:szCs w:val="20"/>
              </w:rPr>
              <w:t>信永中和会计师事务所（特殊普通合伙）武汉分所</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黑体"/>
                <w:kern w:val="0"/>
                <w:sz w:val="22"/>
              </w:rPr>
            </w:pPr>
            <w:r>
              <w:rPr>
                <w:rFonts w:hint="eastAsia" w:ascii="宋体" w:hAnsi="宋体" w:cs="黑体"/>
                <w:kern w:val="0"/>
                <w:sz w:val="22"/>
              </w:rPr>
              <w:t>预算金额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仿宋_GB2312"/>
                <w:sz w:val="22"/>
              </w:rPr>
            </w:pPr>
            <w:r>
              <w:rPr>
                <w:rFonts w:ascii="宋体" w:hAnsi="宋体" w:cs="宋体"/>
                <w:bCs/>
                <w:sz w:val="22"/>
              </w:rPr>
              <w:t>5988.02万元</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评价分数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8</w:t>
            </w:r>
            <w:r>
              <w:rPr>
                <w:rFonts w:ascii="宋体" w:hAnsi="宋体" w:cs="仿宋_GB2312"/>
                <w:sz w:val="22"/>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sz w:val="22"/>
              </w:rPr>
              <w:t>评价等级</w:t>
            </w: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良</w:t>
            </w:r>
          </w:p>
        </w:tc>
      </w:tr>
      <w:tr>
        <w:tblPrEx>
          <w:tblCellMar>
            <w:top w:w="15" w:type="dxa"/>
            <w:left w:w="15" w:type="dxa"/>
            <w:bottom w:w="15" w:type="dxa"/>
            <w:right w:w="15" w:type="dxa"/>
          </w:tblCellMar>
        </w:tblPrEx>
        <w:trPr>
          <w:trHeight w:val="399"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textAlignment w:val="center"/>
              <w:rPr>
                <w:rFonts w:ascii="宋体" w:hAnsi="宋体" w:cs="黑体"/>
                <w:kern w:val="0"/>
                <w:sz w:val="22"/>
              </w:rPr>
            </w:pPr>
            <w:r>
              <w:rPr>
                <w:rFonts w:hint="eastAsia" w:ascii="宋体" w:hAnsi="宋体" w:cs="黑体"/>
                <w:kern w:val="0"/>
                <w:sz w:val="22"/>
              </w:rPr>
              <w:t>有效调查问卷</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1</w:t>
            </w:r>
            <w:r>
              <w:rPr>
                <w:rFonts w:ascii="宋体" w:hAnsi="宋体" w:cs="仿宋_GB2312"/>
                <w:kern w:val="0"/>
                <w:sz w:val="22"/>
              </w:rPr>
              <w:t>24</w:t>
            </w:r>
          </w:p>
        </w:tc>
        <w:tc>
          <w:tcPr>
            <w:tcW w:w="21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满意度情况</w:t>
            </w:r>
          </w:p>
        </w:tc>
        <w:tc>
          <w:tcPr>
            <w:tcW w:w="288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9</w:t>
            </w:r>
            <w:r>
              <w:rPr>
                <w:rFonts w:ascii="宋体" w:hAnsi="宋体" w:cs="仿宋_GB2312"/>
                <w:kern w:val="0"/>
                <w:sz w:val="22"/>
              </w:rPr>
              <w:t>6%</w:t>
            </w:r>
          </w:p>
        </w:tc>
      </w:tr>
      <w:tr>
        <w:tblPrEx>
          <w:tblCellMar>
            <w:top w:w="15" w:type="dxa"/>
            <w:left w:w="15" w:type="dxa"/>
            <w:bottom w:w="15" w:type="dxa"/>
            <w:right w:w="15" w:type="dxa"/>
          </w:tblCellMar>
        </w:tblPrEx>
        <w:trPr>
          <w:trHeight w:val="1962"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绩效目标</w:t>
            </w:r>
          </w:p>
          <w:p>
            <w:pPr>
              <w:widowControl/>
              <w:spacing w:line="320" w:lineRule="exact"/>
              <w:jc w:val="center"/>
              <w:textAlignment w:val="center"/>
              <w:rPr>
                <w:rFonts w:ascii="宋体" w:hAnsi="宋体" w:cs="黑体"/>
                <w:sz w:val="22"/>
              </w:rPr>
            </w:pPr>
            <w:r>
              <w:rPr>
                <w:rFonts w:hint="eastAsia" w:ascii="宋体" w:hAnsi="宋体" w:cs="黑体"/>
                <w:kern w:val="0"/>
                <w:sz w:val="22"/>
              </w:rPr>
              <w:t>实现情况</w:t>
            </w:r>
          </w:p>
        </w:tc>
        <w:tc>
          <w:tcPr>
            <w:tcW w:w="7423"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本次绩效评价分别从投入、过程、产出、效果4个维度对项目进行评价，最终评定综合得分为</w:t>
            </w:r>
            <w:r>
              <w:rPr>
                <w:rFonts w:ascii="宋体" w:hAnsi="宋体" w:cs="仿宋_GB2312"/>
                <w:sz w:val="22"/>
              </w:rPr>
              <w:t>85</w:t>
            </w:r>
            <w:r>
              <w:rPr>
                <w:rFonts w:hint="eastAsia" w:ascii="宋体" w:hAnsi="宋体" w:cs="仿宋_GB2312"/>
                <w:sz w:val="22"/>
              </w:rPr>
              <w:t>分，评价等级为“良”。从绩效评价的得分情况来看，2</w:t>
            </w:r>
            <w:r>
              <w:rPr>
                <w:rFonts w:ascii="宋体" w:hAnsi="宋体" w:cs="仿宋_GB2312"/>
                <w:sz w:val="22"/>
              </w:rPr>
              <w:t>021</w:t>
            </w:r>
            <w:r>
              <w:rPr>
                <w:rFonts w:hint="eastAsia" w:ascii="宋体" w:hAnsi="宋体" w:cs="仿宋_GB2312"/>
                <w:sz w:val="22"/>
              </w:rPr>
              <w:t>年度省知识产权局统筹推进疫情防控和知识产权工作，在知识产权转化、运用、保护、管理等各环节提质增效，成效显著，但在预算管理及绩效管理方面仍需进一步加强和完善。</w:t>
            </w:r>
          </w:p>
        </w:tc>
      </w:tr>
      <w:tr>
        <w:tblPrEx>
          <w:tblCellMar>
            <w:top w:w="15" w:type="dxa"/>
            <w:left w:w="15" w:type="dxa"/>
            <w:bottom w:w="15" w:type="dxa"/>
            <w:right w:w="15" w:type="dxa"/>
          </w:tblCellMar>
        </w:tblPrEx>
        <w:trPr>
          <w:trHeight w:val="2581"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sz w:val="22"/>
              </w:rPr>
            </w:pPr>
            <w:r>
              <w:rPr>
                <w:rFonts w:hint="eastAsia" w:ascii="宋体" w:hAnsi="宋体" w:cs="黑体"/>
                <w:kern w:val="0"/>
                <w:sz w:val="22"/>
              </w:rPr>
              <w:t>简要情况</w:t>
            </w:r>
          </w:p>
        </w:tc>
        <w:tc>
          <w:tcPr>
            <w:tcW w:w="7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（一）预算管理方面。预算编制不精细，未按照二级项目予以细化，尚未形成成熟稳定的项目库。</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（二）绩效管理方面。一是部门整体绩效指标侧重于产出指标，绩效评价体系有待进一步优化。二是部分绩效指标值设置不合理，部分绩效指标未完成。</w:t>
            </w:r>
          </w:p>
          <w:p>
            <w:pPr>
              <w:widowControl/>
              <w:spacing w:line="320" w:lineRule="exact"/>
              <w:jc w:val="left"/>
              <w:textAlignment w:val="center"/>
              <w:rPr>
                <w:rFonts w:ascii="宋体" w:hAnsi="宋体" w:cs="仿宋_GB2312"/>
                <w:sz w:val="22"/>
              </w:rPr>
            </w:pPr>
            <w:r>
              <w:rPr>
                <w:rFonts w:hint="eastAsia" w:ascii="宋体" w:hAnsi="宋体" w:cs="仿宋_GB2312"/>
                <w:sz w:val="22"/>
              </w:rPr>
              <w:t>（三）项目管理方面。知识产权领域奖补资金项目管理有待进一步精细化管理，加强对奖补项目的全流程管理。</w:t>
            </w:r>
          </w:p>
        </w:tc>
      </w:tr>
      <w:tr>
        <w:tblPrEx>
          <w:tblCellMar>
            <w:top w:w="15" w:type="dxa"/>
            <w:left w:w="15" w:type="dxa"/>
            <w:bottom w:w="15" w:type="dxa"/>
            <w:right w:w="15" w:type="dxa"/>
          </w:tblCellMar>
        </w:tblPrEx>
        <w:trPr>
          <w:trHeight w:val="2287" w:hRule="atLeast"/>
          <w:jc w:val="center"/>
        </w:trPr>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kern w:val="0"/>
                <w:sz w:val="22"/>
              </w:rPr>
            </w:pPr>
            <w:r>
              <w:rPr>
                <w:rFonts w:hint="eastAsia" w:ascii="宋体" w:hAnsi="宋体" w:cs="黑体"/>
                <w:kern w:val="0"/>
                <w:sz w:val="22"/>
              </w:rPr>
              <w:t>简要建议</w:t>
            </w:r>
          </w:p>
        </w:tc>
        <w:tc>
          <w:tcPr>
            <w:tcW w:w="742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（一）预算管理方面。有序开展预算项目库建设，对所有预算支出实施项目化管理，推动预算精细化管理。</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（二）绩效管理方面。有序推进绩效指标体系建设，实现预算指标科学合理、细化量化，保证绩效指标关联性强、考核全面。</w:t>
            </w:r>
          </w:p>
          <w:p>
            <w:pPr>
              <w:widowControl/>
              <w:spacing w:line="320" w:lineRule="exact"/>
              <w:jc w:val="left"/>
              <w:textAlignment w:val="center"/>
              <w:rPr>
                <w:rFonts w:ascii="宋体" w:hAnsi="宋体" w:cs="仿宋_GB2312"/>
                <w:sz w:val="22"/>
              </w:rPr>
            </w:pPr>
            <w:r>
              <w:rPr>
                <w:rFonts w:hint="eastAsia" w:ascii="宋体" w:hAnsi="宋体" w:cs="仿宋_GB2312"/>
                <w:sz w:val="22"/>
              </w:rPr>
              <w:t>（三）项目管理方面。完善奖补类项目配套管理制度，保证奖补资金项目实施过程公平、公正、合法合规，切实提高资金使用效益。</w:t>
            </w:r>
          </w:p>
        </w:tc>
      </w:tr>
      <w:tr>
        <w:tblPrEx>
          <w:tblCellMar>
            <w:top w:w="15" w:type="dxa"/>
            <w:left w:w="15" w:type="dxa"/>
            <w:bottom w:w="15" w:type="dxa"/>
            <w:right w:w="15" w:type="dxa"/>
          </w:tblCellMar>
        </w:tblPrEx>
        <w:trPr>
          <w:trHeight w:val="1889" w:hRule="atLeast"/>
          <w:jc w:val="center"/>
        </w:trPr>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sz w:val="22"/>
              </w:rPr>
            </w:pPr>
            <w:r>
              <w:rPr>
                <w:rFonts w:hint="eastAsia" w:ascii="宋体" w:hAnsi="宋体" w:cs="黑体"/>
                <w:sz w:val="22"/>
              </w:rPr>
              <w:t>评价结果</w:t>
            </w:r>
          </w:p>
          <w:p>
            <w:pPr>
              <w:widowControl/>
              <w:spacing w:line="320" w:lineRule="exact"/>
              <w:jc w:val="center"/>
              <w:textAlignment w:val="center"/>
              <w:rPr>
                <w:rFonts w:ascii="宋体" w:hAnsi="宋体" w:cs="黑体"/>
                <w:sz w:val="22"/>
              </w:rPr>
            </w:pPr>
            <w:r>
              <w:rPr>
                <w:rFonts w:hint="eastAsia" w:ascii="宋体" w:hAnsi="宋体" w:cs="黑体"/>
                <w:sz w:val="22"/>
              </w:rPr>
              <w:t>应用建议</w:t>
            </w:r>
          </w:p>
        </w:tc>
        <w:tc>
          <w:tcPr>
            <w:tcW w:w="742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对2021年度的绩效目标实现程度和预算执行的监督管控，能够通过本报告发现2021年绩效目标未达成或目标制定明显不合理的情况，通过原因总结、分析，为部门预算安排、完善政策和改进管理提供重要依据。同时为以后年度提高预算编制精度、优化项目管控提供参考，切实提高履职效能和公共服务供给质量。</w:t>
            </w:r>
          </w:p>
        </w:tc>
      </w:tr>
    </w:tbl>
    <w:p>
      <w:pPr>
        <w:widowControl/>
        <w:jc w:val="left"/>
        <w:rPr>
          <w:rFonts w:asciiTheme="minorEastAsia" w:hAnsiTheme="minorEastAsia" w:eastAsiaTheme="minorEastAsia"/>
          <w:b/>
          <w:sz w:val="28"/>
          <w:szCs w:val="28"/>
        </w:rPr>
        <w:sectPr>
          <w:footerReference r:id="rId8" w:type="first"/>
          <w:headerReference r:id="rId6" w:type="default"/>
          <w:footerReference r:id="rId7" w:type="default"/>
          <w:type w:val="continuous"/>
          <w:pgSz w:w="11909" w:h="16834"/>
          <w:pgMar w:top="1418" w:right="1701" w:bottom="1418" w:left="1701" w:header="851" w:footer="851" w:gutter="0"/>
          <w:cols w:space="720" w:num="1"/>
          <w:formProt w:val="0"/>
          <w:docGrid w:type="lines" w:linePitch="312" w:charSpace="0"/>
        </w:sectPr>
      </w:pPr>
      <w:r>
        <w:rPr>
          <w:rFonts w:asciiTheme="minorEastAsia" w:hAnsiTheme="minorEastAsia" w:eastAsiaTheme="minorEastAsia"/>
          <w:b/>
          <w:sz w:val="28"/>
          <w:szCs w:val="28"/>
        </w:rPr>
        <w:br w:type="page"/>
      </w:r>
    </w:p>
    <w:p>
      <w:pPr>
        <w:snapToGrid w:val="0"/>
        <w:spacing w:before="156" w:beforeLines="50"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湖北省知识产权局2021年度部门整体支出</w:t>
      </w:r>
    </w:p>
    <w:p>
      <w:pPr>
        <w:snapToGrid w:val="0"/>
        <w:spacing w:before="156" w:beforeLines="50"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绩效评价报告</w:t>
      </w:r>
    </w:p>
    <w:p>
      <w:pPr>
        <w:snapToGrid w:val="0"/>
        <w:spacing w:before="312" w:beforeLines="100" w:line="360" w:lineRule="auto"/>
        <w:ind w:firstLine="440" w:firstLineChars="200"/>
        <w:jc w:val="right"/>
        <w:rPr>
          <w:rFonts w:asciiTheme="minorEastAsia" w:hAnsiTheme="minorEastAsia" w:eastAsiaTheme="minorEastAsia"/>
          <w:sz w:val="22"/>
        </w:rPr>
      </w:pPr>
      <w:r>
        <w:rPr>
          <w:rFonts w:asciiTheme="minorEastAsia" w:hAnsiTheme="minorEastAsia" w:eastAsiaTheme="minorEastAsia"/>
          <w:sz w:val="22"/>
        </w:rPr>
        <w:t>XYZH/2022WHAA20652</w:t>
      </w:r>
    </w:p>
    <w:p>
      <w:pPr>
        <w:snapToGrid w:val="0"/>
        <w:spacing w:before="156" w:beforeLines="50" w:after="100" w:afterAutospacing="1" w:line="360" w:lineRule="exact"/>
        <w:rPr>
          <w:rFonts w:asciiTheme="minorEastAsia" w:hAnsiTheme="minorEastAsia" w:eastAsiaTheme="minorEastAsia"/>
          <w:b/>
          <w:sz w:val="22"/>
        </w:rPr>
      </w:pPr>
      <w:r>
        <w:rPr>
          <w:rFonts w:hint="eastAsia" w:asciiTheme="minorEastAsia" w:hAnsiTheme="minorEastAsia" w:eastAsiaTheme="minorEastAsia"/>
          <w:b/>
          <w:sz w:val="22"/>
        </w:rPr>
        <w:t>湖北省知识产权局</w:t>
      </w:r>
      <w:r>
        <w:rPr>
          <w:rFonts w:asciiTheme="minorEastAsia" w:hAnsiTheme="minorEastAsia" w:eastAsiaTheme="minorEastAsia"/>
          <w:b/>
          <w:sz w:val="22"/>
        </w:rPr>
        <w:t>：</w:t>
      </w:r>
    </w:p>
    <w:p>
      <w:pPr>
        <w:spacing w:line="360" w:lineRule="auto"/>
        <w:ind w:firstLine="440" w:firstLineChars="200"/>
        <w:rPr>
          <w:rFonts w:ascii="宋体" w:hAnsi="宋体" w:cs="宋体"/>
          <w:bCs/>
          <w:sz w:val="22"/>
        </w:rPr>
      </w:pPr>
      <w:r>
        <w:rPr>
          <w:rFonts w:hint="eastAsia" w:ascii="宋体" w:hAnsi="宋体" w:cs="宋体"/>
          <w:bCs/>
          <w:sz w:val="22"/>
        </w:rPr>
        <w:t>我们接受湖北省知识产权局的委托</w:t>
      </w:r>
      <w:r>
        <w:rPr>
          <w:rFonts w:ascii="宋体" w:hAnsi="宋体" w:cs="宋体"/>
          <w:bCs/>
          <w:sz w:val="22"/>
        </w:rPr>
        <w:t>，于</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6</w:t>
      </w:r>
      <w:r>
        <w:rPr>
          <w:rFonts w:hint="eastAsia" w:ascii="宋体" w:hAnsi="宋体" w:cs="宋体"/>
          <w:bCs/>
          <w:sz w:val="22"/>
        </w:rPr>
        <w:t>日</w:t>
      </w:r>
      <w:r>
        <w:rPr>
          <w:rFonts w:ascii="宋体" w:hAnsi="宋体" w:cs="宋体"/>
          <w:bCs/>
          <w:sz w:val="22"/>
        </w:rPr>
        <w:t>至</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29</w:t>
      </w:r>
      <w:r>
        <w:rPr>
          <w:rFonts w:hint="eastAsia" w:ascii="宋体" w:hAnsi="宋体" w:cs="宋体"/>
          <w:bCs/>
          <w:sz w:val="22"/>
        </w:rPr>
        <w:t>日</w:t>
      </w:r>
      <w:r>
        <w:rPr>
          <w:rFonts w:ascii="宋体" w:hAnsi="宋体" w:cs="宋体"/>
          <w:bCs/>
          <w:sz w:val="22"/>
        </w:rPr>
        <w:t>对</w:t>
      </w:r>
      <w:r>
        <w:rPr>
          <w:rFonts w:hint="eastAsia" w:ascii="宋体" w:hAnsi="宋体" w:cs="宋体"/>
          <w:bCs/>
          <w:sz w:val="22"/>
        </w:rPr>
        <w:t>湖北省知识产权局2</w:t>
      </w:r>
      <w:r>
        <w:rPr>
          <w:rFonts w:ascii="宋体" w:hAnsi="宋体" w:cs="宋体"/>
          <w:bCs/>
          <w:sz w:val="22"/>
        </w:rPr>
        <w:t>021</w:t>
      </w:r>
      <w:r>
        <w:rPr>
          <w:rFonts w:hint="eastAsia" w:ascii="宋体" w:hAnsi="宋体" w:cs="宋体"/>
          <w:bCs/>
          <w:sz w:val="22"/>
        </w:rPr>
        <w:t>年度部门整体绩效目标进行评价，</w:t>
      </w:r>
      <w:r>
        <w:rPr>
          <w:rFonts w:hint="eastAsia" w:ascii="宋体" w:hAnsi="宋体"/>
          <w:sz w:val="22"/>
        </w:rPr>
        <w:t>本次绩效评价的范围及工作内容已经与省知识产权局进行了沟通。我们绩效评价工作是在湖北省知识产权局提供资料的基础上，通过现场调查、比较分析、访谈、资料审阅等方式进行的。保护资产的安全、完整，保证评审资料的真实、合法、完整是湖北省知识产权局的责任。我们的责任是实施我们认为必要的评审程序，并向湖北省知识产权局如实反映评审程序的实施情况及评审结果</w:t>
      </w:r>
      <w:r>
        <w:rPr>
          <w:rFonts w:hint="eastAsia" w:ascii="宋体" w:hAnsi="宋体" w:cs="宋体"/>
          <w:bCs/>
          <w:sz w:val="22"/>
        </w:rPr>
        <w:t>。</w:t>
      </w:r>
    </w:p>
    <w:p>
      <w:pPr>
        <w:spacing w:line="360" w:lineRule="auto"/>
        <w:ind w:firstLine="440" w:firstLineChars="200"/>
        <w:rPr>
          <w:rFonts w:ascii="宋体" w:hAnsi="宋体" w:cs="宋体"/>
          <w:bCs/>
          <w:sz w:val="22"/>
        </w:rPr>
        <w:sectPr>
          <w:headerReference r:id="rId9" w:type="default"/>
          <w:pgSz w:w="11909" w:h="16834"/>
          <w:pgMar w:top="1418" w:right="1701" w:bottom="1418" w:left="1701" w:header="851" w:footer="851" w:gutter="0"/>
          <w:cols w:space="720" w:num="1"/>
          <w:formProt w:val="0"/>
          <w:docGrid w:type="lines" w:linePitch="312" w:charSpace="0"/>
        </w:sectPr>
      </w:pPr>
      <w:r>
        <w:rPr>
          <w:rFonts w:hint="eastAsia" w:ascii="宋体" w:hAnsi="宋体"/>
          <w:sz w:val="22"/>
        </w:rPr>
        <w:t>我们按照《中国注册会计师相关服务准则第4101号——对财务信息执行商定程序》及审计准则的相关规定，根据我们的评审经验及职业判断，实施我们认为必要的评审程序，如实反映评审结果。除法律法规和审计准则另有规定的情形之外，我们的报告仅限湖北省知识产权局拟定的范围使用，不做其他任何用途。</w:t>
      </w:r>
      <w:r>
        <w:rPr>
          <w:rFonts w:ascii="宋体" w:hAnsi="宋体" w:cs="宋体"/>
          <w:bCs/>
          <w:sz w:val="22"/>
        </w:rPr>
        <w:t>现将</w:t>
      </w:r>
      <w:r>
        <w:rPr>
          <w:rFonts w:hint="eastAsia" w:ascii="宋体" w:hAnsi="宋体" w:cs="宋体"/>
          <w:bCs/>
          <w:sz w:val="22"/>
        </w:rPr>
        <w:t>湖北省知识产权局2021年度部门整体支出绩效评价</w:t>
      </w:r>
      <w:r>
        <w:rPr>
          <w:rFonts w:ascii="宋体" w:hAnsi="宋体" w:cs="宋体"/>
          <w:bCs/>
          <w:sz w:val="22"/>
        </w:rPr>
        <w:t>情况报告如下</w:t>
      </w:r>
      <w:r>
        <w:rPr>
          <w:rFonts w:hint="eastAsia" w:ascii="宋体" w:hAnsi="宋体" w:cs="宋体"/>
          <w:bCs/>
          <w:sz w:val="22"/>
        </w:rPr>
        <w:t>：</w:t>
      </w:r>
    </w:p>
    <w:p>
      <w:pPr>
        <w:pStyle w:val="2"/>
        <w:numPr>
          <w:numId w:val="0"/>
        </w:numPr>
        <w:tabs>
          <w:tab w:val="left" w:pos="420"/>
          <w:tab w:val="left" w:pos="993"/>
        </w:tabs>
        <w:spacing w:before="50" w:after="0"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lang w:eastAsia="zh-CN"/>
        </w:rPr>
        <w:t>一、</w:t>
      </w:r>
      <w:bookmarkStart w:id="4" w:name="_GoBack"/>
      <w:bookmarkEnd w:id="4"/>
      <w:r>
        <w:rPr>
          <w:rFonts w:hint="eastAsia" w:asciiTheme="minorEastAsia" w:hAnsiTheme="minorEastAsia" w:eastAsiaTheme="minorEastAsia"/>
          <w:sz w:val="22"/>
          <w:szCs w:val="22"/>
        </w:rPr>
        <w:t>部门概况</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（一）部门的基本情况</w:t>
      </w:r>
    </w:p>
    <w:p>
      <w:pPr>
        <w:spacing w:line="360" w:lineRule="auto"/>
        <w:ind w:firstLine="440" w:firstLineChars="200"/>
        <w:rPr>
          <w:rFonts w:ascii="宋体" w:hAnsi="宋体" w:cs="宋体"/>
          <w:bCs/>
          <w:sz w:val="22"/>
        </w:rPr>
      </w:pPr>
      <w:r>
        <w:rPr>
          <w:rFonts w:ascii="宋体" w:hAnsi="宋体" w:cs="宋体"/>
          <w:bCs/>
          <w:sz w:val="22"/>
        </w:rPr>
        <w:t>根据</w:t>
      </w:r>
      <w:r>
        <w:rPr>
          <w:rFonts w:hint="eastAsia" w:ascii="宋体" w:hAnsi="宋体" w:cs="宋体"/>
          <w:bCs/>
          <w:sz w:val="22"/>
        </w:rPr>
        <w:t>湖北</w:t>
      </w:r>
      <w:r>
        <w:rPr>
          <w:rFonts w:ascii="宋体" w:hAnsi="宋体" w:cs="宋体"/>
          <w:bCs/>
          <w:sz w:val="22"/>
        </w:rPr>
        <w:t>省委办公厅</w:t>
      </w:r>
      <w:r>
        <w:rPr>
          <w:rFonts w:hint="eastAsia" w:ascii="宋体" w:hAnsi="宋体" w:cs="宋体"/>
          <w:bCs/>
          <w:sz w:val="22"/>
        </w:rPr>
        <w:t>、</w:t>
      </w:r>
      <w:r>
        <w:rPr>
          <w:rFonts w:ascii="宋体" w:hAnsi="宋体" w:cs="宋体"/>
          <w:bCs/>
          <w:sz w:val="22"/>
        </w:rPr>
        <w:t>省政府办公厅《关于印发湖北省知识产权局职能配置、内设机构和人员编制规定》</w:t>
      </w:r>
      <w:r>
        <w:rPr>
          <w:rFonts w:hint="eastAsia" w:ascii="宋体" w:hAnsi="宋体" w:cs="宋体"/>
          <w:bCs/>
          <w:sz w:val="22"/>
        </w:rPr>
        <w:t>（</w:t>
      </w:r>
      <w:r>
        <w:rPr>
          <w:rFonts w:ascii="宋体" w:hAnsi="宋体" w:cs="宋体"/>
          <w:bCs/>
          <w:sz w:val="22"/>
        </w:rPr>
        <w:t>鄂办文［2019］68号</w:t>
      </w:r>
      <w:r>
        <w:rPr>
          <w:rFonts w:hint="eastAsia" w:ascii="宋体" w:hAnsi="宋体" w:cs="宋体"/>
          <w:bCs/>
          <w:sz w:val="22"/>
        </w:rPr>
        <w:t>）</w:t>
      </w:r>
      <w:r>
        <w:rPr>
          <w:rFonts w:ascii="宋体" w:hAnsi="宋体" w:cs="宋体"/>
          <w:bCs/>
          <w:sz w:val="22"/>
        </w:rPr>
        <w:t>的</w:t>
      </w:r>
      <w:r>
        <w:rPr>
          <w:rFonts w:hint="eastAsia" w:ascii="宋体" w:hAnsi="宋体" w:cs="宋体"/>
          <w:bCs/>
          <w:sz w:val="22"/>
        </w:rPr>
        <w:t>相关规定</w:t>
      </w:r>
      <w:r>
        <w:rPr>
          <w:rFonts w:ascii="宋体" w:hAnsi="宋体" w:cs="宋体"/>
          <w:bCs/>
          <w:sz w:val="22"/>
        </w:rPr>
        <w:t>，</w:t>
      </w:r>
      <w:r>
        <w:rPr>
          <w:rFonts w:hint="eastAsia" w:ascii="宋体" w:hAnsi="宋体" w:cs="宋体"/>
          <w:bCs/>
          <w:sz w:val="22"/>
        </w:rPr>
        <w:t>湖北省知识产权局是主管全省知识产权工作的行政机构，内设办公室、规划发展处、保护协调处、运用促进处、商标和地理标志处、人事处（机关党委）等六个职能处室。局机关注册地及办公地址位于武汉市武昌区公正路19号。当前局机关行政编制4</w:t>
      </w:r>
      <w:r>
        <w:rPr>
          <w:rFonts w:ascii="宋体" w:hAnsi="宋体" w:cs="宋体"/>
          <w:bCs/>
          <w:sz w:val="22"/>
        </w:rPr>
        <w:t>3</w:t>
      </w:r>
      <w:r>
        <w:rPr>
          <w:rFonts w:hint="eastAsia" w:ascii="宋体" w:hAnsi="宋体" w:cs="宋体"/>
          <w:bCs/>
          <w:sz w:val="22"/>
        </w:rPr>
        <w:t>人，机关工勤人员事业编制2人。实有在职人数</w:t>
      </w:r>
      <w:r>
        <w:rPr>
          <w:rFonts w:ascii="宋体" w:hAnsi="宋体" w:cs="宋体"/>
          <w:bCs/>
          <w:sz w:val="22"/>
        </w:rPr>
        <w:t>46</w:t>
      </w:r>
      <w:r>
        <w:rPr>
          <w:rFonts w:hint="eastAsia" w:ascii="宋体" w:hAnsi="宋体" w:cs="宋体"/>
          <w:bCs/>
          <w:sz w:val="22"/>
        </w:rPr>
        <w:t>人，退休人员18人。</w:t>
      </w:r>
    </w:p>
    <w:p>
      <w:pPr>
        <w:adjustRightInd w:val="0"/>
        <w:snapToGrid w:val="0"/>
        <w:spacing w:before="156" w:beforeLines="50" w:line="360" w:lineRule="auto"/>
        <w:ind w:firstLine="442" w:firstLineChars="200"/>
        <w:jc w:val="left"/>
        <w:outlineLvl w:val="1"/>
        <w:rPr>
          <w:rFonts w:ascii="宋体" w:hAnsi="宋体" w:cs="宋体"/>
          <w:b/>
          <w:sz w:val="22"/>
        </w:rPr>
      </w:pPr>
      <w:bookmarkStart w:id="0" w:name="_Toc10391960"/>
      <w:r>
        <w:rPr>
          <w:rFonts w:hint="eastAsia" w:ascii="宋体" w:hAnsi="宋体" w:cs="宋体"/>
          <w:b/>
          <w:sz w:val="22"/>
        </w:rPr>
        <w:t>（二）部门预算管理及整体收支情况</w:t>
      </w:r>
    </w:p>
    <w:p>
      <w:pPr>
        <w:spacing w:line="360" w:lineRule="auto"/>
        <w:ind w:firstLine="440" w:firstLineChars="200"/>
        <w:rPr>
          <w:rFonts w:ascii="宋体" w:hAnsi="宋体" w:cs="宋体"/>
          <w:bCs/>
          <w:sz w:val="22"/>
        </w:rPr>
      </w:pPr>
      <w:r>
        <w:rPr>
          <w:rFonts w:hint="eastAsia" w:ascii="宋体" w:hAnsi="宋体" w:cs="宋体"/>
          <w:bCs/>
          <w:sz w:val="22"/>
        </w:rPr>
        <w:t>湖北省知识产权局各项经费收入和支出一律纳入部门预算统一管理，包括：人员经费、公用经费、项目经费、离退休经费、公费医疗经费及其他各项经费。根据省财政年度部门预算控制数，规划发展处（财务）负责编报知识产权局人员经费、公用经费、离退休经费、公费医疗经费等经费预算。项目经费由各处室，结合局内重点工作和业务工作需求，在规划发展处的统一组织下，在规定的时间内编报，经分管领导审批，上党组会研究通过后，规划发展处统一编制局机关年度部门预算。</w:t>
      </w:r>
    </w:p>
    <w:p>
      <w:pPr>
        <w:spacing w:line="360" w:lineRule="auto"/>
        <w:ind w:firstLine="440" w:firstLineChars="200"/>
        <w:rPr>
          <w:rFonts w:ascii="宋体" w:hAnsi="宋体" w:cs="宋体"/>
          <w:bCs/>
          <w:sz w:val="22"/>
        </w:rPr>
      </w:pPr>
      <w:r>
        <w:rPr>
          <w:rFonts w:hint="eastAsia" w:ascii="宋体" w:hAnsi="宋体" w:cs="宋体"/>
          <w:bCs/>
          <w:sz w:val="22"/>
        </w:rPr>
        <w:t>1.预算收入</w:t>
      </w:r>
    </w:p>
    <w:p>
      <w:pPr>
        <w:spacing w:line="360" w:lineRule="auto"/>
        <w:ind w:firstLine="440" w:firstLineChars="200"/>
        <w:rPr>
          <w:rFonts w:ascii="宋体" w:hAnsi="宋体" w:cs="宋体"/>
          <w:bCs/>
          <w:sz w:val="22"/>
        </w:rPr>
      </w:pPr>
      <w:r>
        <w:rPr>
          <w:rFonts w:ascii="宋体" w:hAnsi="宋体" w:cs="宋体"/>
          <w:bCs/>
          <w:sz w:val="22"/>
        </w:rPr>
        <w:t>2021年湖北省知识产权局本级部门</w:t>
      </w:r>
      <w:r>
        <w:rPr>
          <w:rFonts w:hint="eastAsia" w:ascii="宋体" w:hAnsi="宋体" w:cs="宋体"/>
          <w:bCs/>
          <w:sz w:val="22"/>
        </w:rPr>
        <w:t>年初</w:t>
      </w:r>
      <w:r>
        <w:rPr>
          <w:rFonts w:ascii="宋体" w:hAnsi="宋体" w:cs="宋体"/>
          <w:bCs/>
          <w:sz w:val="22"/>
        </w:rPr>
        <w:t>预算总收入3,335.55万元</w:t>
      </w:r>
      <w:r>
        <w:rPr>
          <w:rFonts w:hint="eastAsia" w:ascii="宋体" w:hAnsi="宋体" w:cs="宋体"/>
          <w:bCs/>
          <w:sz w:val="22"/>
        </w:rPr>
        <w:t>，其中一般公共预算财政拨款收入</w:t>
      </w:r>
      <w:r>
        <w:rPr>
          <w:rFonts w:ascii="宋体" w:hAnsi="宋体" w:cs="宋体"/>
          <w:bCs/>
          <w:sz w:val="22"/>
        </w:rPr>
        <w:t>3,245.55万元，其他收入90万元（实有资金账户经费）。</w:t>
      </w:r>
    </w:p>
    <w:p>
      <w:pPr>
        <w:spacing w:line="360" w:lineRule="auto"/>
        <w:ind w:firstLine="440" w:firstLineChars="200"/>
        <w:rPr>
          <w:rFonts w:ascii="宋体" w:hAnsi="宋体" w:cs="宋体"/>
          <w:bCs/>
          <w:sz w:val="22"/>
        </w:rPr>
      </w:pPr>
      <w:r>
        <w:rPr>
          <w:rFonts w:ascii="宋体" w:hAnsi="宋体" w:cs="宋体"/>
          <w:bCs/>
          <w:sz w:val="22"/>
        </w:rPr>
        <w:t>2021年湖北省知识产权局本级部门</w:t>
      </w:r>
      <w:r>
        <w:rPr>
          <w:rFonts w:hint="eastAsia" w:ascii="宋体" w:hAnsi="宋体" w:cs="宋体"/>
          <w:bCs/>
          <w:sz w:val="22"/>
        </w:rPr>
        <w:t>调整</w:t>
      </w:r>
      <w:r>
        <w:rPr>
          <w:rFonts w:ascii="宋体" w:hAnsi="宋体" w:cs="宋体"/>
          <w:bCs/>
          <w:sz w:val="22"/>
        </w:rPr>
        <w:t>预算</w:t>
      </w:r>
      <w:r>
        <w:rPr>
          <w:rFonts w:hint="eastAsia" w:ascii="宋体" w:hAnsi="宋体" w:cs="宋体"/>
          <w:bCs/>
          <w:sz w:val="22"/>
        </w:rPr>
        <w:t>后</w:t>
      </w:r>
      <w:r>
        <w:rPr>
          <w:rFonts w:ascii="宋体" w:hAnsi="宋体" w:cs="宋体"/>
          <w:bCs/>
          <w:sz w:val="22"/>
        </w:rPr>
        <w:t>总收入5,860.64万元</w:t>
      </w:r>
      <w:r>
        <w:rPr>
          <w:rFonts w:hint="eastAsia" w:ascii="宋体" w:hAnsi="宋体" w:cs="宋体"/>
          <w:bCs/>
          <w:sz w:val="22"/>
        </w:rPr>
        <w:t>，其中一般公共预算财政拨款收入</w:t>
      </w:r>
      <w:r>
        <w:rPr>
          <w:rFonts w:ascii="宋体" w:hAnsi="宋体" w:cs="宋体"/>
          <w:bCs/>
          <w:sz w:val="22"/>
        </w:rPr>
        <w:t>5,859.72万元，其他收入0.92万元（实有资金账户经费）。</w:t>
      </w:r>
      <w:r>
        <w:rPr>
          <w:rFonts w:hint="eastAsia" w:ascii="宋体" w:hAnsi="宋体" w:cs="宋体"/>
          <w:bCs/>
          <w:sz w:val="22"/>
        </w:rPr>
        <w:t>预算调增的主要原因是本年增加专利奖奖励经费7</w:t>
      </w:r>
      <w:r>
        <w:rPr>
          <w:rFonts w:ascii="宋体" w:hAnsi="宋体" w:cs="宋体"/>
          <w:bCs/>
          <w:sz w:val="22"/>
        </w:rPr>
        <w:t>00</w:t>
      </w:r>
      <w:r>
        <w:rPr>
          <w:rFonts w:hint="eastAsia" w:ascii="宋体" w:hAnsi="宋体" w:cs="宋体"/>
          <w:bCs/>
          <w:sz w:val="22"/>
        </w:rPr>
        <w:t>万元、新一代信息化工程经费106.33万元、中央服务业发展资金2</w:t>
      </w:r>
      <w:r>
        <w:rPr>
          <w:rFonts w:ascii="宋体" w:hAnsi="宋体" w:cs="宋体"/>
          <w:bCs/>
          <w:sz w:val="22"/>
        </w:rPr>
        <w:t>050</w:t>
      </w:r>
      <w:r>
        <w:rPr>
          <w:rFonts w:hint="eastAsia" w:ascii="宋体" w:hAnsi="宋体" w:cs="宋体"/>
          <w:bCs/>
          <w:sz w:val="22"/>
        </w:rPr>
        <w:t>万元。</w:t>
      </w:r>
    </w:p>
    <w:p>
      <w:pPr>
        <w:spacing w:line="360" w:lineRule="auto"/>
        <w:ind w:firstLine="440" w:firstLineChars="200"/>
        <w:rPr>
          <w:rFonts w:ascii="宋体" w:hAnsi="宋体" w:cs="宋体"/>
          <w:bCs/>
          <w:sz w:val="22"/>
        </w:rPr>
      </w:pPr>
      <w:r>
        <w:rPr>
          <w:rFonts w:hint="eastAsia" w:ascii="宋体" w:hAnsi="宋体" w:cs="宋体"/>
          <w:bCs/>
          <w:sz w:val="22"/>
        </w:rPr>
        <w:t>2.预算支出</w:t>
      </w:r>
    </w:p>
    <w:p>
      <w:pPr>
        <w:spacing w:line="360" w:lineRule="auto"/>
        <w:ind w:firstLine="440" w:firstLineChars="200"/>
        <w:rPr>
          <w:rFonts w:ascii="宋体" w:hAnsi="宋体" w:cs="宋体"/>
          <w:bCs/>
          <w:sz w:val="22"/>
        </w:rPr>
      </w:pPr>
      <w:r>
        <w:rPr>
          <w:rFonts w:hint="eastAsia" w:ascii="宋体" w:hAnsi="宋体" w:cs="宋体"/>
          <w:bCs/>
          <w:sz w:val="22"/>
        </w:rPr>
        <w:t>2021年湖北省知识产权局本级部门年初预算总支出3,335.55万元，其中基本支出</w:t>
      </w:r>
      <w:r>
        <w:rPr>
          <w:rFonts w:ascii="宋体" w:hAnsi="宋体" w:cs="宋体"/>
          <w:bCs/>
          <w:sz w:val="22"/>
        </w:rPr>
        <w:t>1,486.55</w:t>
      </w:r>
      <w:r>
        <w:rPr>
          <w:rFonts w:hint="eastAsia" w:ascii="宋体" w:hAnsi="宋体" w:cs="宋体"/>
          <w:bCs/>
          <w:sz w:val="22"/>
        </w:rPr>
        <w:t>万元，项目支出</w:t>
      </w:r>
      <w:r>
        <w:rPr>
          <w:rFonts w:ascii="宋体" w:hAnsi="宋体" w:cs="宋体"/>
          <w:bCs/>
          <w:sz w:val="22"/>
        </w:rPr>
        <w:t>1,849.00</w:t>
      </w:r>
      <w:r>
        <w:rPr>
          <w:rFonts w:hint="eastAsia" w:ascii="宋体" w:hAnsi="宋体" w:cs="宋体"/>
          <w:bCs/>
          <w:sz w:val="22"/>
        </w:rPr>
        <w:t>万元。</w:t>
      </w:r>
    </w:p>
    <w:p>
      <w:pPr>
        <w:spacing w:line="360" w:lineRule="auto"/>
        <w:ind w:firstLine="440" w:firstLineChars="200"/>
        <w:rPr>
          <w:rFonts w:ascii="宋体" w:hAnsi="宋体" w:cs="宋体"/>
          <w:bCs/>
          <w:sz w:val="22"/>
        </w:rPr>
      </w:pPr>
      <w:r>
        <w:rPr>
          <w:rFonts w:ascii="宋体" w:hAnsi="宋体" w:cs="宋体"/>
          <w:bCs/>
          <w:sz w:val="22"/>
        </w:rPr>
        <w:t>2021年湖北省知识产权局本级</w:t>
      </w:r>
      <w:r>
        <w:rPr>
          <w:rFonts w:hint="eastAsia" w:ascii="宋体" w:hAnsi="宋体" w:cs="宋体"/>
          <w:bCs/>
          <w:sz w:val="22"/>
        </w:rPr>
        <w:t>部门调整</w:t>
      </w:r>
      <w:r>
        <w:rPr>
          <w:rFonts w:ascii="宋体" w:hAnsi="宋体" w:cs="宋体"/>
          <w:bCs/>
          <w:sz w:val="22"/>
        </w:rPr>
        <w:t>预算</w:t>
      </w:r>
      <w:r>
        <w:rPr>
          <w:rFonts w:hint="eastAsia" w:ascii="宋体" w:hAnsi="宋体" w:cs="宋体"/>
          <w:bCs/>
          <w:sz w:val="22"/>
        </w:rPr>
        <w:t>后</w:t>
      </w:r>
      <w:r>
        <w:rPr>
          <w:rFonts w:ascii="宋体" w:hAnsi="宋体" w:cs="宋体"/>
          <w:bCs/>
          <w:sz w:val="22"/>
        </w:rPr>
        <w:t>总支出5,988.02万元</w:t>
      </w:r>
      <w:r>
        <w:rPr>
          <w:rFonts w:hint="eastAsia" w:ascii="宋体" w:hAnsi="宋体" w:cs="宋体"/>
          <w:bCs/>
          <w:sz w:val="22"/>
        </w:rPr>
        <w:t>（含上年结余资金），其中基本支出</w:t>
      </w:r>
      <w:r>
        <w:rPr>
          <w:rFonts w:ascii="宋体" w:hAnsi="宋体" w:cs="宋体"/>
          <w:bCs/>
          <w:sz w:val="22"/>
        </w:rPr>
        <w:t>1,488.61万元，项目经费支出4,499.42万元。</w:t>
      </w:r>
    </w:p>
    <w:p>
      <w:pPr>
        <w:spacing w:line="360" w:lineRule="auto"/>
        <w:ind w:firstLine="440" w:firstLineChars="200"/>
        <w:rPr>
          <w:rFonts w:ascii="宋体" w:hAnsi="宋体" w:cs="宋体"/>
          <w:bCs/>
          <w:sz w:val="22"/>
        </w:rPr>
      </w:pPr>
      <w:r>
        <w:rPr>
          <w:rFonts w:hint="eastAsia" w:ascii="宋体" w:hAnsi="宋体" w:cs="宋体"/>
          <w:bCs/>
          <w:sz w:val="22"/>
        </w:rPr>
        <w:t>3.决算支出</w:t>
      </w:r>
    </w:p>
    <w:p>
      <w:pPr>
        <w:spacing w:line="360" w:lineRule="auto"/>
        <w:ind w:firstLine="440" w:firstLineChars="200"/>
        <w:rPr>
          <w:rFonts w:ascii="宋体" w:hAnsi="宋体" w:cs="宋体"/>
          <w:bCs/>
          <w:sz w:val="22"/>
        </w:rPr>
      </w:pPr>
      <w:r>
        <w:rPr>
          <w:rFonts w:hint="eastAsia" w:ascii="宋体" w:hAnsi="宋体" w:cs="宋体"/>
          <w:bCs/>
          <w:sz w:val="22"/>
        </w:rPr>
        <w:t>2021年湖北省知识产权局本级部门决算总支出</w:t>
      </w:r>
      <w:r>
        <w:rPr>
          <w:rFonts w:ascii="宋体" w:hAnsi="宋体" w:cs="宋体"/>
          <w:bCs/>
          <w:sz w:val="22"/>
        </w:rPr>
        <w:t>5,863.87</w:t>
      </w:r>
      <w:r>
        <w:rPr>
          <w:rFonts w:hint="eastAsia" w:ascii="宋体" w:hAnsi="宋体" w:cs="宋体"/>
          <w:bCs/>
          <w:sz w:val="22"/>
        </w:rPr>
        <w:t>万元，其中基本支出</w:t>
      </w:r>
      <w:r>
        <w:rPr>
          <w:rFonts w:ascii="宋体" w:hAnsi="宋体" w:cs="宋体"/>
          <w:bCs/>
          <w:sz w:val="22"/>
        </w:rPr>
        <w:t>1,404.85</w:t>
      </w:r>
      <w:r>
        <w:rPr>
          <w:rFonts w:hint="eastAsia" w:ascii="宋体" w:hAnsi="宋体" w:cs="宋体"/>
          <w:bCs/>
          <w:sz w:val="22"/>
        </w:rPr>
        <w:t>万元，项目支出</w:t>
      </w:r>
      <w:r>
        <w:rPr>
          <w:rFonts w:ascii="宋体" w:hAnsi="宋体" w:cs="宋体"/>
          <w:bCs/>
          <w:sz w:val="22"/>
        </w:rPr>
        <w:t>4,459.02</w:t>
      </w:r>
      <w:r>
        <w:rPr>
          <w:rFonts w:hint="eastAsia" w:ascii="宋体" w:hAnsi="宋体" w:cs="宋体"/>
          <w:bCs/>
          <w:sz w:val="22"/>
        </w:rPr>
        <w:t>万元。</w:t>
      </w:r>
    </w:p>
    <w:p>
      <w:pPr>
        <w:spacing w:line="360" w:lineRule="auto"/>
        <w:ind w:firstLine="440" w:firstLineChars="200"/>
        <w:rPr>
          <w:rFonts w:ascii="宋体" w:hAnsi="宋体" w:cs="宋体"/>
          <w:bCs/>
          <w:sz w:val="22"/>
        </w:rPr>
      </w:pPr>
      <w:r>
        <w:rPr>
          <w:rFonts w:hint="eastAsia" w:ascii="宋体" w:hAnsi="宋体" w:cs="宋体"/>
          <w:bCs/>
          <w:sz w:val="22"/>
        </w:rPr>
        <w:t>4</w:t>
      </w:r>
      <w:r>
        <w:rPr>
          <w:rFonts w:ascii="宋体" w:hAnsi="宋体" w:cs="宋体"/>
          <w:bCs/>
          <w:sz w:val="22"/>
        </w:rPr>
        <w:t>.</w:t>
      </w:r>
      <w:r>
        <w:rPr>
          <w:rFonts w:hint="eastAsia" w:ascii="宋体" w:hAnsi="宋体" w:cs="宋体"/>
          <w:bCs/>
          <w:sz w:val="22"/>
        </w:rPr>
        <w:t>年末结转和结余资金</w:t>
      </w:r>
      <w:r>
        <w:rPr>
          <w:rFonts w:ascii="宋体" w:hAnsi="宋体" w:cs="宋体"/>
          <w:bCs/>
          <w:sz w:val="22"/>
        </w:rPr>
        <w:t>124.15</w:t>
      </w:r>
      <w:r>
        <w:rPr>
          <w:rFonts w:hint="eastAsia" w:ascii="宋体" w:hAnsi="宋体" w:cs="宋体"/>
          <w:bCs/>
          <w:sz w:val="22"/>
        </w:rPr>
        <w:t>万元。</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（三）部门工作任务</w:t>
      </w:r>
    </w:p>
    <w:p>
      <w:pPr>
        <w:spacing w:line="360" w:lineRule="auto"/>
        <w:ind w:firstLine="442" w:firstLineChars="200"/>
        <w:outlineLvl w:val="2"/>
        <w:rPr>
          <w:rFonts w:ascii="宋体" w:hAnsi="宋体" w:cs="宋体"/>
          <w:b/>
          <w:bCs/>
          <w:sz w:val="22"/>
        </w:rPr>
      </w:pPr>
      <w:r>
        <w:rPr>
          <w:rFonts w:hint="eastAsia" w:ascii="宋体" w:hAnsi="宋体" w:cs="宋体"/>
          <w:b/>
          <w:bCs/>
          <w:sz w:val="22"/>
        </w:rPr>
        <w:t>1</w:t>
      </w:r>
      <w:r>
        <w:rPr>
          <w:rFonts w:ascii="宋体" w:hAnsi="宋体" w:cs="宋体"/>
          <w:b/>
          <w:bCs/>
          <w:sz w:val="22"/>
        </w:rPr>
        <w:t>.</w:t>
      </w:r>
      <w:r>
        <w:rPr>
          <w:rFonts w:hint="eastAsia" w:ascii="宋体" w:hAnsi="宋体" w:cs="宋体"/>
          <w:b/>
          <w:bCs/>
          <w:sz w:val="22"/>
        </w:rPr>
        <w:t>部门总体目标</w:t>
      </w:r>
    </w:p>
    <w:p>
      <w:pPr>
        <w:spacing w:line="360" w:lineRule="auto"/>
        <w:ind w:firstLine="440" w:firstLineChars="200"/>
        <w:rPr>
          <w:rFonts w:ascii="宋体" w:hAnsi="宋体" w:cs="宋体"/>
          <w:bCs/>
          <w:sz w:val="22"/>
        </w:rPr>
      </w:pPr>
      <w:r>
        <w:rPr>
          <w:rFonts w:hint="eastAsia" w:ascii="宋体" w:hAnsi="宋体" w:cs="宋体"/>
          <w:bCs/>
          <w:sz w:val="22"/>
        </w:rPr>
        <w:t>坚持以习近平新时代中国特色社会主义思想为指导，深入学习贯彻党的十九大和十九届历次全会精神和习近平总书记关于湖北工作的重要指示批示精神，认真落实党中央、国务院关于知识产权工作的决策部署和省委、省政府相关工作要求，紧紧围绕省委、省政府中心工作及群众关注关切，聚焦知识产权服务高质量发展，着眼知识产权“放管服”改革优化营商环境。</w:t>
      </w:r>
    </w:p>
    <w:p>
      <w:pPr>
        <w:spacing w:line="360" w:lineRule="auto"/>
        <w:ind w:firstLine="440" w:firstLineChars="200"/>
        <w:rPr>
          <w:rFonts w:ascii="宋体" w:hAnsi="宋体" w:cs="宋体"/>
          <w:bCs/>
          <w:sz w:val="22"/>
        </w:rPr>
      </w:pPr>
      <w:r>
        <w:rPr>
          <w:rFonts w:hint="eastAsia" w:ascii="宋体" w:hAnsi="宋体" w:cs="宋体"/>
          <w:bCs/>
          <w:sz w:val="22"/>
        </w:rPr>
        <w:t>以市场为导向，不断提高市场主体运用知识产权参与市场竞争的能力，构建、完善知识产权运用，提升知识产权密集型产业占全省经济的比重，截止2025年全省万人发明专利拥有量达到</w:t>
      </w:r>
      <w:r>
        <w:rPr>
          <w:rFonts w:ascii="宋体" w:hAnsi="宋体" w:cs="宋体"/>
          <w:bCs/>
          <w:sz w:val="22"/>
        </w:rPr>
        <w:t>20</w:t>
      </w:r>
      <w:r>
        <w:rPr>
          <w:rFonts w:hint="eastAsia" w:ascii="宋体" w:hAnsi="宋体" w:cs="宋体"/>
          <w:bCs/>
          <w:sz w:val="22"/>
        </w:rPr>
        <w:t>件。</w:t>
      </w:r>
    </w:p>
    <w:p>
      <w:pPr>
        <w:spacing w:line="360" w:lineRule="auto"/>
        <w:ind w:firstLine="440" w:firstLineChars="200"/>
        <w:rPr>
          <w:rFonts w:ascii="宋体" w:hAnsi="宋体" w:cs="宋体"/>
          <w:bCs/>
          <w:sz w:val="22"/>
        </w:rPr>
      </w:pPr>
      <w:r>
        <w:rPr>
          <w:rFonts w:hint="eastAsia" w:ascii="宋体" w:hAnsi="宋体" w:cs="宋体"/>
          <w:bCs/>
          <w:sz w:val="22"/>
        </w:rPr>
        <w:t>持续推进建立严格、高效的知识产权保护体系，进一步完善严保护、大保护、快保护、同保护整体工作格局，年度专利行政执法案件结案率在</w:t>
      </w:r>
      <w:r>
        <w:rPr>
          <w:rFonts w:ascii="宋体" w:hAnsi="宋体" w:cs="宋体"/>
          <w:bCs/>
          <w:sz w:val="22"/>
        </w:rPr>
        <w:t>90</w:t>
      </w:r>
      <w:r>
        <w:rPr>
          <w:rFonts w:hint="eastAsia" w:ascii="宋体" w:hAnsi="宋体" w:cs="宋体"/>
          <w:bCs/>
          <w:sz w:val="22"/>
        </w:rPr>
        <w:t>%以上。</w:t>
      </w:r>
    </w:p>
    <w:p>
      <w:pPr>
        <w:spacing w:line="360" w:lineRule="auto"/>
        <w:ind w:firstLine="440" w:firstLineChars="200"/>
        <w:rPr>
          <w:rFonts w:ascii="宋体" w:hAnsi="宋体" w:cs="宋体"/>
          <w:bCs/>
          <w:sz w:val="22"/>
        </w:rPr>
      </w:pPr>
      <w:r>
        <w:rPr>
          <w:rFonts w:hint="eastAsia" w:ascii="宋体" w:hAnsi="宋体" w:cs="宋体"/>
          <w:bCs/>
          <w:sz w:val="22"/>
        </w:rPr>
        <w:t>加强复合型知识产权人才的培养，提升全社会知识产权意识，加强知识产权涵盖湖北省1</w:t>
      </w:r>
      <w:r>
        <w:rPr>
          <w:rFonts w:ascii="宋体" w:hAnsi="宋体" w:cs="宋体"/>
          <w:bCs/>
          <w:sz w:val="22"/>
        </w:rPr>
        <w:t>7</w:t>
      </w:r>
      <w:r>
        <w:rPr>
          <w:rFonts w:hint="eastAsia" w:ascii="宋体" w:hAnsi="宋体" w:cs="宋体"/>
          <w:bCs/>
          <w:sz w:val="22"/>
        </w:rPr>
        <w:t>个市州的宣传，进一步发挥知识产权制度激励创新保障作用，推动经济高质量发展。推进品牌强省建设，提升湖北省品牌的核心竞争力、影响力和品牌示范引领作用，扩大品牌经济效应；大力扶持发展注册商标、地理标志、高价值商标品牌，推进地理标志、商标等品牌发展和保护，发挥品牌在助推湖北经济高质量发展中的关键作用。</w:t>
      </w:r>
    </w:p>
    <w:p>
      <w:pPr>
        <w:spacing w:line="360" w:lineRule="auto"/>
        <w:ind w:firstLine="442" w:firstLineChars="200"/>
        <w:outlineLvl w:val="2"/>
        <w:rPr>
          <w:rFonts w:ascii="宋体" w:hAnsi="宋体" w:cs="宋体"/>
          <w:b/>
          <w:bCs/>
          <w:sz w:val="22"/>
        </w:rPr>
      </w:pPr>
      <w:r>
        <w:rPr>
          <w:rFonts w:ascii="宋体" w:hAnsi="宋体" w:cs="宋体"/>
          <w:b/>
          <w:bCs/>
          <w:sz w:val="22"/>
        </w:rPr>
        <w:t>2.2021</w:t>
      </w:r>
      <w:r>
        <w:rPr>
          <w:rFonts w:hint="eastAsia" w:ascii="宋体" w:hAnsi="宋体" w:cs="宋体"/>
          <w:b/>
          <w:bCs/>
          <w:sz w:val="22"/>
        </w:rPr>
        <w:t>年度绩效目标</w:t>
      </w:r>
    </w:p>
    <w:p>
      <w:pPr>
        <w:spacing w:line="360" w:lineRule="auto"/>
        <w:ind w:firstLine="440" w:firstLineChars="200"/>
        <w:rPr>
          <w:rFonts w:ascii="宋体" w:hAnsi="宋体" w:cs="宋体"/>
          <w:bCs/>
          <w:sz w:val="22"/>
        </w:rPr>
      </w:pPr>
      <w:r>
        <w:rPr>
          <w:rFonts w:hint="eastAsia" w:ascii="宋体" w:hAnsi="宋体" w:cs="宋体"/>
          <w:bCs/>
          <w:sz w:val="22"/>
        </w:rPr>
        <w:t>湖北省知识产权局按照省委、省政府的整体部署，以部门发展长期发展目标为导向，2</w:t>
      </w:r>
      <w:r>
        <w:rPr>
          <w:rFonts w:ascii="宋体" w:hAnsi="宋体" w:cs="宋体"/>
          <w:bCs/>
          <w:sz w:val="22"/>
        </w:rPr>
        <w:t>021</w:t>
      </w:r>
      <w:r>
        <w:rPr>
          <w:rFonts w:hint="eastAsia" w:ascii="宋体" w:hAnsi="宋体" w:cs="宋体"/>
          <w:bCs/>
          <w:sz w:val="22"/>
        </w:rPr>
        <w:t>年绩效目标在长期目标按年度进行规划、分解的基础上，确定2</w:t>
      </w:r>
      <w:r>
        <w:rPr>
          <w:rFonts w:ascii="宋体" w:hAnsi="宋体" w:cs="宋体"/>
          <w:bCs/>
          <w:sz w:val="22"/>
        </w:rPr>
        <w:t>021</w:t>
      </w:r>
      <w:r>
        <w:rPr>
          <w:rFonts w:hint="eastAsia" w:ascii="宋体" w:hAnsi="宋体" w:cs="宋体"/>
          <w:bCs/>
          <w:sz w:val="22"/>
        </w:rPr>
        <w:t>年度工作部门整体细化、量化绩效目标如下：</w:t>
      </w:r>
    </w:p>
    <w:p>
      <w:pPr>
        <w:spacing w:line="360" w:lineRule="auto"/>
        <w:ind w:firstLine="440" w:firstLineChars="200"/>
        <w:rPr>
          <w:rFonts w:ascii="宋体" w:hAnsi="宋体" w:cs="宋体"/>
          <w:bCs/>
          <w:sz w:val="22"/>
        </w:rPr>
      </w:pPr>
      <w:r>
        <w:rPr>
          <w:rFonts w:hint="eastAsia" w:ascii="宋体" w:hAnsi="宋体" w:cs="宋体"/>
          <w:bCs/>
          <w:sz w:val="22"/>
        </w:rPr>
        <w:t>（1）开展多种形式知识产权宣传、培训，构建和完善知识产权人才平台；加强知识产权服务工作。截止2</w:t>
      </w:r>
      <w:r>
        <w:rPr>
          <w:rFonts w:ascii="宋体" w:hAnsi="宋体" w:cs="宋体"/>
          <w:bCs/>
          <w:sz w:val="22"/>
        </w:rPr>
        <w:t>021</w:t>
      </w:r>
      <w:r>
        <w:rPr>
          <w:rFonts w:hint="eastAsia" w:ascii="宋体" w:hAnsi="宋体" w:cs="宋体"/>
          <w:bCs/>
          <w:sz w:val="22"/>
        </w:rPr>
        <w:t>年全省万人发明专利有用量达到1</w:t>
      </w:r>
      <w:r>
        <w:rPr>
          <w:rFonts w:ascii="宋体" w:hAnsi="宋体" w:cs="宋体"/>
          <w:bCs/>
          <w:sz w:val="22"/>
        </w:rPr>
        <w:t>2</w:t>
      </w:r>
      <w:r>
        <w:rPr>
          <w:rFonts w:hint="eastAsia" w:ascii="宋体" w:hAnsi="宋体" w:cs="宋体"/>
          <w:bCs/>
          <w:sz w:val="22"/>
        </w:rPr>
        <w:t>件，知识产权宣传培训人数不少于7</w:t>
      </w:r>
      <w:r>
        <w:rPr>
          <w:rFonts w:ascii="宋体" w:hAnsi="宋体" w:cs="宋体"/>
          <w:bCs/>
          <w:sz w:val="22"/>
        </w:rPr>
        <w:t>00</w:t>
      </w:r>
      <w:r>
        <w:rPr>
          <w:rFonts w:hint="eastAsia" w:ascii="宋体" w:hAnsi="宋体" w:cs="宋体"/>
          <w:bCs/>
          <w:sz w:val="22"/>
        </w:rPr>
        <w:t>人。</w:t>
      </w:r>
    </w:p>
    <w:p>
      <w:pPr>
        <w:spacing w:line="360" w:lineRule="auto"/>
        <w:ind w:firstLine="440" w:firstLineChars="200"/>
        <w:rPr>
          <w:rFonts w:ascii="宋体" w:hAnsi="宋体" w:cs="宋体"/>
          <w:bCs/>
          <w:sz w:val="22"/>
        </w:rPr>
      </w:pPr>
      <w:r>
        <w:rPr>
          <w:rFonts w:hint="eastAsia" w:ascii="宋体" w:hAnsi="宋体" w:cs="宋体"/>
          <w:bCs/>
          <w:sz w:val="22"/>
        </w:rPr>
        <w:t>（2）知识产权运用成效显著、知识产权战略深入实施、具有行业标杆影响力的湖北省知识产权运用示范工程单位。高价值培育项目数1</w:t>
      </w:r>
      <w:r>
        <w:rPr>
          <w:rFonts w:ascii="宋体" w:hAnsi="宋体" w:cs="宋体"/>
          <w:bCs/>
          <w:sz w:val="22"/>
        </w:rPr>
        <w:t>00</w:t>
      </w:r>
      <w:r>
        <w:rPr>
          <w:rFonts w:hint="eastAsia" w:ascii="宋体" w:hAnsi="宋体" w:cs="宋体"/>
          <w:bCs/>
          <w:sz w:val="22"/>
        </w:rPr>
        <w:t>项左右，中小学知识产权教育试点学校数量不少于1</w:t>
      </w:r>
      <w:r>
        <w:rPr>
          <w:rFonts w:ascii="宋体" w:hAnsi="宋体" w:cs="宋体"/>
          <w:bCs/>
          <w:sz w:val="22"/>
        </w:rPr>
        <w:t>0</w:t>
      </w:r>
      <w:r>
        <w:rPr>
          <w:rFonts w:hint="eastAsia" w:ascii="宋体" w:hAnsi="宋体" w:cs="宋体"/>
          <w:bCs/>
          <w:sz w:val="22"/>
        </w:rPr>
        <w:t>家，运用示范单位数量3</w:t>
      </w:r>
      <w:r>
        <w:rPr>
          <w:rFonts w:ascii="宋体" w:hAnsi="宋体" w:cs="宋体"/>
          <w:bCs/>
          <w:sz w:val="22"/>
        </w:rPr>
        <w:t>7</w:t>
      </w:r>
      <w:r>
        <w:rPr>
          <w:rFonts w:hint="eastAsia" w:ascii="宋体" w:hAnsi="宋体" w:cs="宋体"/>
          <w:bCs/>
          <w:sz w:val="22"/>
        </w:rPr>
        <w:t>家左右。</w:t>
      </w:r>
    </w:p>
    <w:p>
      <w:pPr>
        <w:spacing w:line="360" w:lineRule="auto"/>
        <w:ind w:firstLine="440" w:firstLineChars="200"/>
        <w:rPr>
          <w:rFonts w:ascii="宋体" w:hAnsi="宋体" w:cs="宋体"/>
          <w:bCs/>
          <w:sz w:val="22"/>
        </w:rPr>
      </w:pPr>
      <w:r>
        <w:rPr>
          <w:rFonts w:hint="eastAsia" w:ascii="宋体" w:hAnsi="宋体" w:cs="宋体"/>
          <w:bCs/>
          <w:sz w:val="22"/>
        </w:rPr>
        <w:t>（</w:t>
      </w:r>
      <w:r>
        <w:rPr>
          <w:rFonts w:ascii="宋体" w:hAnsi="宋体" w:cs="宋体"/>
          <w:bCs/>
          <w:sz w:val="22"/>
        </w:rPr>
        <w:t>3</w:t>
      </w:r>
      <w:r>
        <w:rPr>
          <w:rFonts w:hint="eastAsia" w:ascii="宋体" w:hAnsi="宋体" w:cs="宋体"/>
          <w:bCs/>
          <w:sz w:val="22"/>
        </w:rPr>
        <w:t>）健全知识产权保护体系，完善知识产权保护各项机制，提升知识产权保护工作效能，拓展知识产权维权援助工作覆盖面。企业开展知识产权海外护航服务不少于1</w:t>
      </w:r>
      <w:r>
        <w:rPr>
          <w:rFonts w:ascii="宋体" w:hAnsi="宋体" w:cs="宋体"/>
          <w:bCs/>
          <w:sz w:val="22"/>
        </w:rPr>
        <w:t>8</w:t>
      </w:r>
      <w:r>
        <w:rPr>
          <w:rFonts w:hint="eastAsia" w:ascii="宋体" w:hAnsi="宋体" w:cs="宋体"/>
          <w:bCs/>
          <w:sz w:val="22"/>
        </w:rPr>
        <w:t>家，软科学项目获批立项件数不少于5件。</w:t>
      </w:r>
    </w:p>
    <w:p>
      <w:pPr>
        <w:spacing w:line="360" w:lineRule="auto"/>
        <w:ind w:firstLine="440" w:firstLineChars="200"/>
        <w:rPr>
          <w:rFonts w:ascii="宋体" w:hAnsi="宋体" w:cs="宋体"/>
          <w:bCs/>
          <w:sz w:val="22"/>
        </w:rPr>
      </w:pPr>
      <w:r>
        <w:rPr>
          <w:rFonts w:hint="eastAsia" w:ascii="宋体" w:hAnsi="宋体" w:cs="宋体"/>
          <w:bCs/>
          <w:sz w:val="22"/>
        </w:rPr>
        <w:t>（4）品牌建设环境不断优化；商标注册及驰名商标、地理标志的申报，商标注册总量、驰名商标、地理标志逐年增长。新增地理标志注册不少于6件，新增驰名商标申请不少于3件，品牌运用示范项目不少于8个。</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绩效评价工作情况</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（一）绩效评价的目的</w:t>
      </w:r>
    </w:p>
    <w:p>
      <w:pPr>
        <w:spacing w:line="360" w:lineRule="auto"/>
        <w:ind w:firstLine="440" w:firstLineChars="200"/>
        <w:rPr>
          <w:rFonts w:ascii="宋体" w:hAnsi="宋体" w:cs="宋体"/>
          <w:sz w:val="22"/>
        </w:rPr>
      </w:pPr>
      <w:r>
        <w:rPr>
          <w:rFonts w:hint="eastAsia" w:ascii="宋体" w:hAnsi="宋体" w:cs="宋体"/>
          <w:sz w:val="22"/>
        </w:rPr>
        <w:t>通过对部门各预算项目资金预算及执行情况进行对比分析，系统评价预算项目实施质量、效益指标完成情况，发现部门绩效目标实施过程中存在的不足之处，</w:t>
      </w:r>
      <w:r>
        <w:rPr>
          <w:rFonts w:ascii="宋体" w:hAnsi="宋体" w:cs="宋体"/>
          <w:sz w:val="22"/>
        </w:rPr>
        <w:t>总结</w:t>
      </w:r>
      <w:r>
        <w:rPr>
          <w:rFonts w:hint="eastAsia" w:ascii="宋体" w:hAnsi="宋体" w:cs="宋体"/>
          <w:sz w:val="22"/>
        </w:rPr>
        <w:t>预算项目实施</w:t>
      </w:r>
      <w:r>
        <w:rPr>
          <w:rFonts w:ascii="宋体" w:hAnsi="宋体" w:cs="宋体"/>
          <w:sz w:val="22"/>
        </w:rPr>
        <w:t>经验，及时调整和</w:t>
      </w:r>
      <w:r>
        <w:rPr>
          <w:rFonts w:hint="eastAsia" w:ascii="宋体" w:hAnsi="宋体" w:cs="宋体"/>
          <w:sz w:val="22"/>
        </w:rPr>
        <w:t>优化局机关</w:t>
      </w:r>
      <w:r>
        <w:rPr>
          <w:rFonts w:ascii="宋体" w:hAnsi="宋体" w:cs="宋体"/>
          <w:sz w:val="22"/>
        </w:rPr>
        <w:t>的工作计划和绩效目标</w:t>
      </w:r>
      <w:r>
        <w:rPr>
          <w:rFonts w:hint="eastAsia" w:ascii="宋体" w:hAnsi="宋体" w:cs="宋体"/>
          <w:sz w:val="22"/>
        </w:rPr>
        <w:t>、绩效指标</w:t>
      </w:r>
      <w:r>
        <w:rPr>
          <w:rFonts w:ascii="宋体" w:hAnsi="宋体" w:cs="宋体"/>
          <w:sz w:val="22"/>
        </w:rPr>
        <w:t>，促进部门从整体上提升预算绩效管理工作水平</w:t>
      </w:r>
      <w:r>
        <w:rPr>
          <w:rFonts w:hint="eastAsia" w:ascii="宋体" w:hAnsi="宋体" w:cs="宋体"/>
          <w:sz w:val="22"/>
        </w:rPr>
        <w:t>。将绩效评价结果与项目预算挂钩，</w:t>
      </w:r>
      <w:r>
        <w:rPr>
          <w:rFonts w:ascii="宋体" w:hAnsi="宋体" w:cs="宋体"/>
          <w:sz w:val="22"/>
        </w:rPr>
        <w:t>强化部门支出</w:t>
      </w:r>
      <w:r>
        <w:rPr>
          <w:rFonts w:hint="eastAsia" w:ascii="宋体" w:hAnsi="宋体" w:cs="宋体"/>
          <w:sz w:val="22"/>
        </w:rPr>
        <w:t>主体</w:t>
      </w:r>
      <w:r>
        <w:rPr>
          <w:rFonts w:ascii="宋体" w:hAnsi="宋体" w:cs="宋体"/>
          <w:sz w:val="22"/>
        </w:rPr>
        <w:t>责任，保障好部门更好地履行职责</w:t>
      </w:r>
      <w:r>
        <w:rPr>
          <w:rFonts w:hint="eastAsia" w:ascii="宋体" w:hAnsi="宋体" w:cs="宋体"/>
          <w:sz w:val="22"/>
        </w:rPr>
        <w:t>，为以后年度项目资金的使用提供决策参考，促进湖北省知识产权局持续提高知识产权领域公共产品质量和服务水平，推动知识产权工作科学发展进程。</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bCs/>
          <w:sz w:val="22"/>
        </w:rPr>
        <w:t>（二）绩效评价原则</w:t>
      </w:r>
    </w:p>
    <w:p>
      <w:pPr>
        <w:spacing w:line="360" w:lineRule="auto"/>
        <w:ind w:firstLine="440" w:firstLineChars="200"/>
        <w:rPr>
          <w:rFonts w:ascii="宋体" w:hAnsi="宋体" w:cs="宋体"/>
          <w:bCs/>
          <w:sz w:val="22"/>
        </w:rPr>
      </w:pPr>
      <w:r>
        <w:rPr>
          <w:rFonts w:ascii="宋体" w:hAnsi="宋体" w:cs="宋体"/>
          <w:bCs/>
          <w:sz w:val="22"/>
        </w:rPr>
        <w:t>1.</w:t>
      </w:r>
      <w:r>
        <w:rPr>
          <w:rFonts w:hint="eastAsia" w:ascii="宋体" w:hAnsi="宋体" w:cs="宋体"/>
          <w:bCs/>
          <w:sz w:val="22"/>
        </w:rPr>
        <w:t>科学公正。绩效评价应当运用科学合理的方法，按照规范的程序，对项目绩效进行客观、公正的反映。</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激励约束。绩效评价结果应与预算安排、政策调整、改进管理实质性挂钩，体现奖优罚劣和激励相容导向，有效要安排、低效要压减、无效要问责。</w:t>
      </w:r>
    </w:p>
    <w:p>
      <w:pPr>
        <w:spacing w:line="360" w:lineRule="auto"/>
        <w:ind w:firstLine="440" w:firstLineChars="200"/>
        <w:rPr>
          <w:rFonts w:ascii="宋体" w:hAnsi="宋体" w:cs="宋体"/>
          <w:bCs/>
          <w:sz w:val="22"/>
        </w:rPr>
      </w:pPr>
      <w:r>
        <w:rPr>
          <w:rFonts w:ascii="宋体" w:hAnsi="宋体" w:cs="宋体"/>
          <w:bCs/>
          <w:sz w:val="22"/>
        </w:rPr>
        <w:t>3.</w:t>
      </w:r>
      <w:r>
        <w:rPr>
          <w:rFonts w:hint="eastAsia" w:ascii="宋体" w:hAnsi="宋体" w:cs="宋体"/>
          <w:bCs/>
          <w:sz w:val="22"/>
        </w:rPr>
        <w:t>绩效相关原则。针对具体支出及其产出绩效进行，评价结果能够清晰反映支出和产出绩效之间的紧密对应关系。</w:t>
      </w:r>
    </w:p>
    <w:p>
      <w:pPr>
        <w:spacing w:line="360" w:lineRule="auto"/>
        <w:ind w:firstLine="440" w:firstLineChars="200"/>
        <w:rPr>
          <w:rFonts w:ascii="宋体" w:hAnsi="宋体" w:cs="宋体"/>
          <w:bCs/>
          <w:sz w:val="22"/>
        </w:rPr>
      </w:pPr>
      <w:r>
        <w:rPr>
          <w:rFonts w:ascii="宋体" w:hAnsi="宋体" w:cs="宋体"/>
          <w:bCs/>
          <w:sz w:val="22"/>
        </w:rPr>
        <w:t>4.</w:t>
      </w:r>
      <w:r>
        <w:rPr>
          <w:rFonts w:hint="eastAsia" w:ascii="宋体" w:hAnsi="宋体" w:cs="宋体"/>
          <w:bCs/>
          <w:sz w:val="22"/>
        </w:rPr>
        <w:t>重点核查原则。对于大额支出、新增项目、效益明显的项目，容易出现管控问题之处，进行重点核查。</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（三）评审依据</w:t>
      </w:r>
    </w:p>
    <w:p>
      <w:pPr>
        <w:spacing w:line="360" w:lineRule="auto"/>
        <w:ind w:firstLine="440" w:firstLineChars="200"/>
        <w:rPr>
          <w:rFonts w:ascii="宋体" w:hAnsi="宋体" w:cs="宋体"/>
          <w:bCs/>
          <w:sz w:val="22"/>
        </w:rPr>
      </w:pPr>
      <w:r>
        <w:rPr>
          <w:rFonts w:ascii="宋体" w:hAnsi="宋体" w:cs="宋体"/>
          <w:bCs/>
          <w:sz w:val="22"/>
        </w:rPr>
        <w:t>1.</w:t>
      </w:r>
      <w:r>
        <w:rPr>
          <w:rFonts w:hint="eastAsia" w:ascii="宋体" w:hAnsi="宋体" w:cs="宋体"/>
          <w:bCs/>
          <w:sz w:val="22"/>
        </w:rPr>
        <w:t>《中华人民共和国预算法》；</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财政部《财政支出绩效评价管理暂行办法》；</w:t>
      </w:r>
    </w:p>
    <w:p>
      <w:pPr>
        <w:spacing w:line="360" w:lineRule="auto"/>
        <w:ind w:firstLine="440" w:firstLineChars="200"/>
        <w:rPr>
          <w:rFonts w:ascii="宋体" w:hAnsi="宋体" w:cs="宋体"/>
          <w:bCs/>
          <w:sz w:val="22"/>
        </w:rPr>
      </w:pPr>
      <w:r>
        <w:rPr>
          <w:rFonts w:hint="eastAsia" w:ascii="宋体" w:hAnsi="宋体" w:cs="宋体"/>
          <w:bCs/>
          <w:sz w:val="22"/>
        </w:rPr>
        <w:t>3</w:t>
      </w:r>
      <w:r>
        <w:rPr>
          <w:rFonts w:ascii="宋体" w:hAnsi="宋体" w:cs="宋体"/>
          <w:bCs/>
          <w:sz w:val="22"/>
        </w:rPr>
        <w:t>.</w:t>
      </w:r>
      <w:r>
        <w:rPr>
          <w:rFonts w:hint="eastAsia" w:ascii="宋体" w:hAnsi="宋体" w:cs="宋体"/>
          <w:bCs/>
          <w:sz w:val="22"/>
        </w:rPr>
        <w:t>财政部关于印发《项目支出绩效评价管理办法》的通知（财预〔2020〕10号）；</w:t>
      </w:r>
    </w:p>
    <w:p>
      <w:pPr>
        <w:spacing w:line="360" w:lineRule="auto"/>
        <w:ind w:firstLine="440" w:firstLineChars="200"/>
        <w:rPr>
          <w:rFonts w:ascii="宋体" w:hAnsi="宋体" w:cs="宋体"/>
          <w:bCs/>
          <w:sz w:val="22"/>
        </w:rPr>
      </w:pPr>
      <w:r>
        <w:rPr>
          <w:rFonts w:ascii="宋体" w:hAnsi="宋体" w:cs="宋体"/>
          <w:bCs/>
          <w:sz w:val="22"/>
        </w:rPr>
        <w:t>4.湖北省财政厅关于印发《全面实施预算绩效管理系列制度》的通知（鄂财绩发</w:t>
      </w:r>
      <w:r>
        <w:rPr>
          <w:rFonts w:hint="eastAsia" w:ascii="宋体" w:hAnsi="宋体" w:cs="宋体"/>
          <w:bCs/>
          <w:sz w:val="22"/>
        </w:rPr>
        <w:t>[</w:t>
      </w:r>
      <w:r>
        <w:rPr>
          <w:rFonts w:ascii="宋体" w:hAnsi="宋体" w:cs="宋体"/>
          <w:bCs/>
          <w:sz w:val="22"/>
        </w:rPr>
        <w:t>2020</w:t>
      </w:r>
      <w:r>
        <w:rPr>
          <w:rFonts w:hint="eastAsia" w:ascii="宋体" w:hAnsi="宋体" w:cs="宋体"/>
          <w:bCs/>
          <w:sz w:val="22"/>
        </w:rPr>
        <w:t>]</w:t>
      </w:r>
      <w:r>
        <w:rPr>
          <w:rFonts w:ascii="宋体" w:hAnsi="宋体" w:cs="宋体"/>
          <w:bCs/>
          <w:sz w:val="22"/>
        </w:rPr>
        <w:t>3号）</w:t>
      </w:r>
      <w:r>
        <w:rPr>
          <w:rFonts w:hint="eastAsia" w:ascii="宋体" w:hAnsi="宋体" w:cs="宋体"/>
          <w:bCs/>
          <w:sz w:val="22"/>
        </w:rPr>
        <w:t>；</w:t>
      </w:r>
    </w:p>
    <w:p>
      <w:pPr>
        <w:spacing w:line="360" w:lineRule="auto"/>
        <w:ind w:firstLine="440" w:firstLineChars="200"/>
        <w:rPr>
          <w:rFonts w:cs="宋体" w:asciiTheme="minorEastAsia" w:hAnsiTheme="minorEastAsia" w:eastAsiaTheme="minorEastAsia"/>
          <w:sz w:val="22"/>
        </w:rPr>
      </w:pPr>
      <w:r>
        <w:rPr>
          <w:rFonts w:ascii="宋体" w:hAnsi="宋体" w:cs="宋体"/>
          <w:bCs/>
          <w:sz w:val="22"/>
        </w:rPr>
        <w:t>5.</w:t>
      </w:r>
      <w:r>
        <w:rPr>
          <w:rFonts w:hint="eastAsia" w:ascii="宋体" w:hAnsi="宋体" w:cs="宋体"/>
          <w:bCs/>
          <w:sz w:val="22"/>
        </w:rPr>
        <w:t>湖北省知识产权局2</w:t>
      </w:r>
      <w:r>
        <w:rPr>
          <w:rFonts w:ascii="宋体" w:hAnsi="宋体" w:cs="宋体"/>
          <w:bCs/>
          <w:sz w:val="22"/>
        </w:rPr>
        <w:t>021</w:t>
      </w:r>
      <w:r>
        <w:rPr>
          <w:rFonts w:hint="eastAsia" w:ascii="宋体" w:hAnsi="宋体" w:cs="宋体"/>
          <w:bCs/>
          <w:sz w:val="22"/>
        </w:rPr>
        <w:t>年相关公开信息、2</w:t>
      </w:r>
      <w:r>
        <w:rPr>
          <w:rFonts w:ascii="宋体" w:hAnsi="宋体" w:cs="宋体"/>
          <w:bCs/>
          <w:sz w:val="22"/>
        </w:rPr>
        <w:t>021</w:t>
      </w:r>
      <w:r>
        <w:rPr>
          <w:rFonts w:hint="eastAsia" w:ascii="宋体" w:hAnsi="宋体" w:cs="宋体"/>
          <w:bCs/>
          <w:sz w:val="22"/>
        </w:rPr>
        <w:t>年决算报表及财务资料；各处室工作总结及项目实施资料等；</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（四）评价方法</w:t>
      </w:r>
    </w:p>
    <w:p>
      <w:pPr>
        <w:adjustRightInd w:val="0"/>
        <w:snapToGrid w:val="0"/>
        <w:spacing w:before="156" w:beforeLines="50" w:after="156" w:afterLines="50" w:line="360" w:lineRule="auto"/>
        <w:ind w:firstLine="440" w:firstLineChars="200"/>
        <w:jc w:val="left"/>
        <w:rPr>
          <w:rFonts w:ascii="宋体" w:hAnsi="宋体" w:cs="宋体"/>
          <w:bCs/>
          <w:sz w:val="22"/>
        </w:rPr>
      </w:pPr>
      <w:r>
        <w:rPr>
          <w:rFonts w:hint="eastAsia" w:ascii="宋体" w:hAnsi="宋体" w:cs="宋体"/>
          <w:bCs/>
          <w:sz w:val="22"/>
        </w:rPr>
        <w:t>根据评价对象的具体情况，</w:t>
      </w:r>
      <w:r>
        <w:rPr>
          <w:rFonts w:ascii="宋体" w:hAnsi="宋体" w:cs="宋体"/>
          <w:bCs/>
          <w:sz w:val="22"/>
        </w:rPr>
        <w:t>本次</w:t>
      </w:r>
      <w:r>
        <w:rPr>
          <w:rFonts w:hint="eastAsia" w:ascii="宋体" w:hAnsi="宋体" w:cs="宋体"/>
          <w:bCs/>
          <w:sz w:val="22"/>
        </w:rPr>
        <w:t>评审</w:t>
      </w:r>
      <w:r>
        <w:rPr>
          <w:rFonts w:ascii="宋体" w:hAnsi="宋体" w:cs="宋体"/>
          <w:bCs/>
          <w:sz w:val="22"/>
        </w:rPr>
        <w:t>主要采取定量和定性相结合的方式，遵循投入产出和绩效管理基本原理，</w:t>
      </w:r>
      <w:r>
        <w:rPr>
          <w:rFonts w:hint="eastAsia" w:ascii="宋体" w:hAnsi="宋体" w:cs="宋体"/>
          <w:bCs/>
          <w:sz w:val="22"/>
        </w:rPr>
        <w:t>主要采用比较法、因素分析法、公众评判法等。重点围绕部门职能、目标、项目与预算的匹配关系，部门管制度保障情况，部门履职的有效性、资源配置有效性和满意度等方面开展评价。</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（五）评价指标体系</w:t>
      </w:r>
    </w:p>
    <w:p>
      <w:pPr>
        <w:spacing w:line="360" w:lineRule="auto"/>
        <w:ind w:firstLine="440" w:firstLineChars="200"/>
        <w:rPr>
          <w:rFonts w:ascii="宋体" w:hAnsi="宋体" w:cs="宋体"/>
          <w:bCs/>
          <w:sz w:val="22"/>
        </w:rPr>
      </w:pPr>
      <w:r>
        <w:rPr>
          <w:rFonts w:hint="eastAsia" w:ascii="宋体" w:hAnsi="宋体" w:cs="宋体"/>
          <w:bCs/>
          <w:sz w:val="22"/>
        </w:rPr>
        <w:t>1.绩效评价指标确定的原则及绩效评价标准</w:t>
      </w:r>
    </w:p>
    <w:p>
      <w:pPr>
        <w:spacing w:line="360" w:lineRule="auto"/>
        <w:ind w:firstLine="440" w:firstLineChars="200"/>
        <w:rPr>
          <w:rFonts w:ascii="宋体" w:hAnsi="宋体" w:cs="宋体"/>
          <w:bCs/>
          <w:sz w:val="22"/>
        </w:rPr>
      </w:pPr>
      <w:r>
        <w:rPr>
          <w:rFonts w:hint="eastAsia" w:ascii="宋体" w:hAnsi="宋体" w:cs="宋体"/>
          <w:bCs/>
          <w:sz w:val="22"/>
        </w:rPr>
        <w:t>绩效评价指标的确定应当遵循相关性、重要性、可比性、系统性、经济性原则。本次绩效评价采用计划标准。计划标准指以预先制定的目标、计划、预算、定额等作为评价标准。</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.绩效评价指标体系设定</w:t>
      </w:r>
    </w:p>
    <w:p>
      <w:pPr>
        <w:spacing w:line="360" w:lineRule="auto"/>
        <w:ind w:firstLine="440" w:firstLineChars="200"/>
        <w:rPr>
          <w:rFonts w:ascii="宋体" w:hAnsi="宋体" w:cs="宋体"/>
          <w:bCs/>
          <w:sz w:val="22"/>
        </w:rPr>
      </w:pPr>
      <w:r>
        <w:rPr>
          <w:rFonts w:hint="eastAsia" w:ascii="宋体" w:hAnsi="宋体" w:cs="宋体"/>
          <w:bCs/>
          <w:sz w:val="22"/>
        </w:rPr>
        <w:t>本次评价指标体系从投入（目标设定、预算配置）、过程（预算执行、预算管理、资产管理）、产出（职能目标完成情况）、效果（履职效益）等四个方面采用计划标准设定，涵盖了财政资金使用全过程。根据绩效评价原则及各项资金特征，结合各职能部门工作目标，设定了定性指标与定量指标，通过分析评分的方式全面评价资金投入、过程管理、产出效果、经济效益和社会效益。</w:t>
      </w:r>
    </w:p>
    <w:p>
      <w:pPr>
        <w:spacing w:line="360" w:lineRule="auto"/>
        <w:ind w:firstLine="440" w:firstLineChars="200"/>
        <w:rPr>
          <w:rFonts w:ascii="宋体" w:hAnsi="宋体" w:cs="宋体"/>
          <w:bCs/>
          <w:sz w:val="22"/>
        </w:rPr>
      </w:pPr>
      <w:r>
        <w:rPr>
          <w:rFonts w:hint="eastAsia" w:ascii="宋体" w:hAnsi="宋体" w:cs="宋体"/>
          <w:bCs/>
          <w:sz w:val="22"/>
        </w:rPr>
        <w:t>本次绩效评价指标体系共设置4 项一级指标、</w:t>
      </w:r>
      <w:r>
        <w:rPr>
          <w:rFonts w:ascii="宋体" w:hAnsi="宋体" w:cs="宋体"/>
          <w:bCs/>
          <w:sz w:val="22"/>
        </w:rPr>
        <w:t>7</w:t>
      </w:r>
      <w:r>
        <w:rPr>
          <w:rFonts w:hint="eastAsia" w:ascii="宋体" w:hAnsi="宋体" w:cs="宋体"/>
          <w:bCs/>
          <w:sz w:val="22"/>
        </w:rPr>
        <w:t xml:space="preserve"> 项二级指标、</w:t>
      </w:r>
      <w:r>
        <w:rPr>
          <w:rFonts w:ascii="宋体" w:hAnsi="宋体" w:cs="宋体"/>
          <w:bCs/>
          <w:sz w:val="22"/>
        </w:rPr>
        <w:t>36</w:t>
      </w:r>
      <w:r>
        <w:rPr>
          <w:rFonts w:hint="eastAsia" w:ascii="宋体" w:hAnsi="宋体" w:cs="宋体"/>
          <w:bCs/>
          <w:sz w:val="22"/>
        </w:rPr>
        <w:t>项三级指标。具体指标体系的构成、评分标准、分值及得分情况见附件二。</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（六）评价组织过程</w:t>
      </w:r>
    </w:p>
    <w:p>
      <w:pPr>
        <w:spacing w:line="360" w:lineRule="auto"/>
        <w:ind w:firstLine="440" w:firstLineChars="200"/>
        <w:rPr>
          <w:rFonts w:ascii="宋体" w:hAnsi="宋体" w:cs="宋体"/>
          <w:bCs/>
          <w:sz w:val="22"/>
        </w:rPr>
      </w:pPr>
      <w:r>
        <w:rPr>
          <w:rFonts w:ascii="宋体" w:hAnsi="宋体" w:cs="宋体"/>
          <w:bCs/>
          <w:sz w:val="22"/>
        </w:rPr>
        <w:t>1.</w:t>
      </w:r>
      <w:r>
        <w:rPr>
          <w:rFonts w:hint="eastAsia" w:ascii="宋体" w:hAnsi="宋体" w:cs="宋体"/>
          <w:bCs/>
          <w:sz w:val="22"/>
        </w:rPr>
        <w:t>前期准备</w:t>
      </w:r>
    </w:p>
    <w:p>
      <w:pPr>
        <w:spacing w:line="360" w:lineRule="auto"/>
        <w:ind w:firstLine="440" w:firstLineChars="200"/>
        <w:rPr>
          <w:rFonts w:ascii="宋体" w:hAnsi="宋体" w:cs="宋体"/>
          <w:bCs/>
          <w:sz w:val="22"/>
        </w:rPr>
      </w:pPr>
      <w:r>
        <w:rPr>
          <w:rFonts w:hint="eastAsia" w:ascii="宋体" w:hAnsi="宋体" w:cs="宋体"/>
          <w:bCs/>
          <w:sz w:val="22"/>
        </w:rPr>
        <w:t>评审项目组通过对评价对象前期调研，确定了评价的目的、方法以及评价的原则，根据被评价项目的内容和特征制定了评价指标体系及评价标准以及评价实施方案，确定所需资料清单、社会效益调查问卷，由湖北省知识产权局进行前期资料准备。</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组织实施</w:t>
      </w:r>
    </w:p>
    <w:p>
      <w:pPr>
        <w:spacing w:line="360" w:lineRule="auto"/>
        <w:ind w:firstLine="440" w:firstLineChars="200"/>
        <w:rPr>
          <w:rFonts w:ascii="宋体" w:hAnsi="宋体" w:cs="宋体"/>
          <w:bCs/>
          <w:sz w:val="22"/>
        </w:rPr>
      </w:pPr>
      <w:r>
        <w:rPr>
          <w:rFonts w:hint="eastAsia" w:ascii="宋体" w:hAnsi="宋体" w:cs="宋体"/>
          <w:bCs/>
          <w:sz w:val="22"/>
        </w:rPr>
        <w:t>根据评审工作方案，对服务对象进行现场评审和调查，进行数据采集，完成数据核实和分析，获取各项绩效评价指标的相关数据资料，在社会效益及满意度调查方面，评审组进行社会调查，广泛听取意见和建议，共收集有效调查问卷</w:t>
      </w:r>
      <w:r>
        <w:rPr>
          <w:rFonts w:ascii="宋体" w:hAnsi="宋体" w:cs="宋体"/>
          <w:bCs/>
          <w:sz w:val="22"/>
        </w:rPr>
        <w:t>124</w:t>
      </w:r>
      <w:r>
        <w:rPr>
          <w:rFonts w:hint="eastAsia" w:ascii="宋体" w:hAnsi="宋体" w:cs="宋体"/>
          <w:bCs/>
          <w:sz w:val="22"/>
        </w:rPr>
        <w:t>份。</w:t>
      </w:r>
    </w:p>
    <w:p>
      <w:pPr>
        <w:spacing w:line="360" w:lineRule="auto"/>
        <w:ind w:firstLine="440" w:firstLineChars="200"/>
        <w:rPr>
          <w:rFonts w:ascii="宋体" w:hAnsi="宋体" w:cs="宋体"/>
          <w:bCs/>
          <w:sz w:val="22"/>
        </w:rPr>
      </w:pPr>
      <w:r>
        <w:rPr>
          <w:rFonts w:ascii="宋体" w:hAnsi="宋体" w:cs="宋体"/>
          <w:bCs/>
          <w:sz w:val="22"/>
        </w:rPr>
        <w:t>3.</w:t>
      </w:r>
      <w:r>
        <w:rPr>
          <w:rFonts w:hint="eastAsia" w:ascii="宋体" w:hAnsi="宋体" w:cs="宋体"/>
          <w:bCs/>
          <w:sz w:val="22"/>
        </w:rPr>
        <w:t>分析评价形成报告</w:t>
      </w:r>
    </w:p>
    <w:p>
      <w:pPr>
        <w:spacing w:line="360" w:lineRule="auto"/>
        <w:ind w:firstLine="440" w:firstLineChars="200"/>
        <w:rPr>
          <w:rFonts w:ascii="宋体" w:hAnsi="宋体" w:cs="宋体"/>
          <w:bCs/>
          <w:sz w:val="22"/>
        </w:rPr>
      </w:pPr>
      <w:r>
        <w:rPr>
          <w:rFonts w:hint="eastAsia" w:ascii="宋体" w:hAnsi="宋体" w:cs="宋体"/>
          <w:bCs/>
          <w:sz w:val="22"/>
        </w:rPr>
        <w:t>评审项目组按照绩效评价的原则和规范，对取得的资料进行审查核实，对采集的数据进行分析，按照绩效评价指标评分表逐项进行评分、分析，汇总各方评价结果，综合分析并形成评价结论。项目组撰写绩效评价报告，并在项目组内进行讨论修改。</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评价情况分析及综合评价结论</w:t>
      </w:r>
    </w:p>
    <w:p>
      <w:pPr>
        <w:spacing w:line="360" w:lineRule="auto"/>
        <w:ind w:firstLine="440" w:firstLineChars="200"/>
        <w:rPr>
          <w:rFonts w:ascii="宋体" w:hAnsi="宋体" w:cs="宋体"/>
          <w:bCs/>
          <w:sz w:val="22"/>
        </w:rPr>
      </w:pPr>
      <w:r>
        <w:rPr>
          <w:rFonts w:hint="eastAsia" w:ascii="宋体" w:hAnsi="宋体" w:cs="宋体"/>
          <w:bCs/>
          <w:sz w:val="22"/>
        </w:rPr>
        <w:t>根据指标体系，评审组经过评审，湖北省知识产权局2</w:t>
      </w:r>
      <w:r>
        <w:rPr>
          <w:rFonts w:ascii="宋体" w:hAnsi="宋体" w:cs="宋体"/>
          <w:bCs/>
          <w:sz w:val="22"/>
        </w:rPr>
        <w:t>021</w:t>
      </w:r>
      <w:r>
        <w:rPr>
          <w:rFonts w:hint="eastAsia" w:ascii="宋体" w:hAnsi="宋体" w:cs="宋体"/>
          <w:bCs/>
          <w:sz w:val="22"/>
        </w:rPr>
        <w:t>年度部门整体支出绩效评价综合得分8</w:t>
      </w:r>
      <w:r>
        <w:rPr>
          <w:rFonts w:ascii="宋体" w:hAnsi="宋体" w:cs="宋体"/>
          <w:bCs/>
          <w:sz w:val="22"/>
        </w:rPr>
        <w:t>5</w:t>
      </w:r>
      <w:r>
        <w:rPr>
          <w:rFonts w:hint="eastAsia" w:ascii="宋体" w:hAnsi="宋体" w:cs="宋体"/>
          <w:bCs/>
          <w:sz w:val="22"/>
        </w:rPr>
        <w:t>分，综合绩效评定结论为“良好”。</w:t>
      </w:r>
    </w:p>
    <w:p>
      <w:pPr>
        <w:spacing w:line="360" w:lineRule="auto"/>
        <w:ind w:firstLine="440" w:firstLineChars="200"/>
        <w:rPr>
          <w:rFonts w:ascii="宋体" w:hAnsi="宋体" w:cs="宋体"/>
          <w:bCs/>
          <w:sz w:val="22"/>
        </w:rPr>
      </w:pPr>
      <w:r>
        <w:rPr>
          <w:rFonts w:hint="eastAsia" w:ascii="宋体" w:hAnsi="宋体" w:cs="宋体"/>
          <w:bCs/>
          <w:sz w:val="22"/>
        </w:rPr>
        <w:t>（一）投入指标</w:t>
      </w:r>
    </w:p>
    <w:p>
      <w:pPr>
        <w:spacing w:line="360" w:lineRule="auto"/>
        <w:ind w:firstLine="440" w:firstLineChars="200"/>
        <w:rPr>
          <w:rFonts w:ascii="宋体" w:hAnsi="宋体" w:cs="宋体"/>
          <w:bCs/>
          <w:sz w:val="22"/>
        </w:rPr>
      </w:pPr>
      <w:r>
        <w:rPr>
          <w:rFonts w:hint="eastAsia" w:ascii="宋体" w:hAnsi="宋体" w:cs="宋体"/>
          <w:bCs/>
          <w:sz w:val="22"/>
        </w:rPr>
        <w:t>投入指标，该指标设置总分值</w:t>
      </w:r>
      <w:r>
        <w:rPr>
          <w:rFonts w:ascii="宋体" w:hAnsi="宋体" w:cs="宋体"/>
          <w:bCs/>
          <w:sz w:val="22"/>
        </w:rPr>
        <w:t>15</w:t>
      </w:r>
      <w:r>
        <w:rPr>
          <w:rFonts w:hint="eastAsia" w:ascii="宋体" w:hAnsi="宋体" w:cs="宋体"/>
          <w:bCs/>
          <w:sz w:val="22"/>
        </w:rPr>
        <w:t>分，评价得分</w:t>
      </w:r>
      <w:r>
        <w:rPr>
          <w:rFonts w:ascii="宋体" w:hAnsi="宋体" w:cs="宋体"/>
          <w:bCs/>
          <w:sz w:val="22"/>
        </w:rPr>
        <w:t>9.5</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其中目标设定方面设置分值9分，评价得分7</w:t>
      </w:r>
      <w:r>
        <w:rPr>
          <w:rFonts w:ascii="宋体" w:hAnsi="宋体" w:cs="宋体"/>
          <w:bCs/>
          <w:sz w:val="22"/>
        </w:rPr>
        <w:t>.5</w:t>
      </w:r>
      <w:r>
        <w:rPr>
          <w:rFonts w:hint="eastAsia" w:ascii="宋体" w:hAnsi="宋体" w:cs="宋体"/>
          <w:bCs/>
          <w:sz w:val="22"/>
        </w:rPr>
        <w:t>分，扣分1</w:t>
      </w:r>
      <w:r>
        <w:rPr>
          <w:rFonts w:ascii="宋体" w:hAnsi="宋体" w:cs="宋体"/>
          <w:bCs/>
          <w:sz w:val="22"/>
        </w:rPr>
        <w:t>.5</w:t>
      </w:r>
      <w:r>
        <w:rPr>
          <w:rFonts w:hint="eastAsia" w:ascii="宋体" w:hAnsi="宋体" w:cs="宋体"/>
          <w:bCs/>
          <w:sz w:val="22"/>
        </w:rPr>
        <w:t>分，主要原因是：（1）绩效目标值未按照二级项目细化分解，省知识产权局以“知识产权转化引导及发展专项资金”一个项目申报，内部采用二级项目管理，但在指标设置方面未与二级项目形成明确的关联关系；（2）绩效目标的目标值未按照清晰可衡量的原则设置，（1）“高价值培育项目数100项左右”，“左右”并非是一个清晰的指标值；（</w:t>
      </w:r>
      <w:r>
        <w:rPr>
          <w:rFonts w:ascii="宋体" w:hAnsi="宋体" w:cs="宋体"/>
          <w:bCs/>
          <w:sz w:val="22"/>
        </w:rPr>
        <w:t>3</w:t>
      </w:r>
      <w:r>
        <w:rPr>
          <w:rFonts w:hint="eastAsia" w:ascii="宋体" w:hAnsi="宋体" w:cs="宋体"/>
          <w:bCs/>
          <w:sz w:val="22"/>
        </w:rPr>
        <w:t>）绩效目标未按照尽量从严、从高设定的原则设定，部分绩效目标值设置偏低，如2021年度新增地理标志注册不少于6件，完成值25件，完成率416%，且2020年度该指标值为28件，本年度指标值较上年下降。</w:t>
      </w:r>
    </w:p>
    <w:p>
      <w:pPr>
        <w:spacing w:line="360" w:lineRule="auto"/>
        <w:ind w:firstLine="440" w:firstLineChars="200"/>
        <w:rPr>
          <w:rFonts w:ascii="宋体" w:hAnsi="宋体" w:cs="宋体"/>
          <w:bCs/>
          <w:sz w:val="22"/>
        </w:rPr>
      </w:pPr>
      <w:r>
        <w:rPr>
          <w:rFonts w:hint="eastAsia" w:ascii="宋体" w:hAnsi="宋体" w:cs="宋体"/>
          <w:bCs/>
          <w:sz w:val="22"/>
        </w:rPr>
        <w:t>其中在预算配置方面设置分值6分，评价得分2分，扣分4分。主要原因是：（1）在职人员控制率≥1</w:t>
      </w:r>
      <w:r>
        <w:rPr>
          <w:rFonts w:ascii="宋体" w:hAnsi="宋体" w:cs="宋体"/>
          <w:bCs/>
          <w:sz w:val="22"/>
        </w:rPr>
        <w:t>00%</w:t>
      </w:r>
      <w:r>
        <w:rPr>
          <w:rFonts w:hint="eastAsia" w:ascii="宋体" w:hAnsi="宋体" w:cs="宋体"/>
          <w:bCs/>
          <w:sz w:val="22"/>
        </w:rPr>
        <w:t>，扣2分；（2）重点支出安排率方面，省知识产权局以“知识产权转化引导及发展专项资金”一个项目申报，根据预算申报表，内部按照费用分类细分二级项目（约3</w:t>
      </w:r>
      <w:r>
        <w:rPr>
          <w:rFonts w:ascii="宋体" w:hAnsi="宋体" w:cs="宋体"/>
          <w:bCs/>
          <w:sz w:val="22"/>
        </w:rPr>
        <w:t>3</w:t>
      </w:r>
      <w:r>
        <w:rPr>
          <w:rFonts w:hint="eastAsia" w:ascii="宋体" w:hAnsi="宋体" w:cs="宋体"/>
          <w:bCs/>
          <w:sz w:val="22"/>
        </w:rPr>
        <w:t>项），重点项目不突出，扣</w:t>
      </w:r>
      <w:r>
        <w:rPr>
          <w:rFonts w:ascii="宋体" w:hAnsi="宋体" w:cs="宋体"/>
          <w:bCs/>
          <w:sz w:val="22"/>
        </w:rPr>
        <w:t>2</w:t>
      </w:r>
      <w:r>
        <w:rPr>
          <w:rFonts w:hint="eastAsia" w:ascii="宋体" w:hAnsi="宋体" w:cs="宋体"/>
          <w:bCs/>
          <w:sz w:val="22"/>
        </w:rPr>
        <w:t>分。该项指标具体评分结果如下：</w:t>
      </w:r>
    </w:p>
    <w:tbl>
      <w:tblPr>
        <w:tblStyle w:val="15"/>
        <w:tblW w:w="5000" w:type="pct"/>
        <w:tblInd w:w="0" w:type="dxa"/>
        <w:tblLayout w:type="autofit"/>
        <w:tblCellMar>
          <w:top w:w="0" w:type="dxa"/>
          <w:left w:w="108" w:type="dxa"/>
          <w:bottom w:w="0" w:type="dxa"/>
          <w:right w:w="108" w:type="dxa"/>
        </w:tblCellMar>
      </w:tblPr>
      <w:tblGrid>
        <w:gridCol w:w="1445"/>
        <w:gridCol w:w="1475"/>
        <w:gridCol w:w="2608"/>
        <w:gridCol w:w="730"/>
        <w:gridCol w:w="1163"/>
        <w:gridCol w:w="1107"/>
      </w:tblGrid>
      <w:tr>
        <w:tblPrEx>
          <w:tblCellMar>
            <w:top w:w="0" w:type="dxa"/>
            <w:left w:w="108" w:type="dxa"/>
            <w:bottom w:w="0" w:type="dxa"/>
            <w:right w:w="108" w:type="dxa"/>
          </w:tblCellMar>
        </w:tblPrEx>
        <w:trPr>
          <w:trHeight w:val="280" w:hRule="atLeast"/>
        </w:trPr>
        <w:tc>
          <w:tcPr>
            <w:tcW w:w="8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一级指标</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二级指标</w:t>
            </w:r>
          </w:p>
        </w:tc>
        <w:tc>
          <w:tcPr>
            <w:tcW w:w="15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18"/>
              </w:rPr>
            </w:pPr>
            <w:r>
              <w:rPr>
                <w:rFonts w:hint="eastAsia" w:ascii="宋体" w:hAnsi="宋体" w:cs="宋体"/>
                <w:b/>
                <w:bCs/>
                <w:kern w:val="0"/>
                <w:sz w:val="20"/>
                <w:szCs w:val="18"/>
              </w:rPr>
              <w:t>三级指标</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分值</w:t>
            </w:r>
          </w:p>
        </w:tc>
        <w:tc>
          <w:tcPr>
            <w:tcW w:w="6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得分</w:t>
            </w:r>
          </w:p>
        </w:tc>
        <w:tc>
          <w:tcPr>
            <w:tcW w:w="6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扣分</w:t>
            </w:r>
          </w:p>
        </w:tc>
      </w:tr>
      <w:tr>
        <w:tblPrEx>
          <w:tblCellMar>
            <w:top w:w="0" w:type="dxa"/>
            <w:left w:w="108" w:type="dxa"/>
            <w:bottom w:w="0" w:type="dxa"/>
            <w:right w:w="108" w:type="dxa"/>
          </w:tblCellMar>
        </w:tblPrEx>
        <w:trPr>
          <w:trHeight w:val="337" w:hRule="atLeast"/>
        </w:trPr>
        <w:tc>
          <w:tcPr>
            <w:tcW w:w="84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投入指标（1</w:t>
            </w:r>
            <w:r>
              <w:rPr>
                <w:rFonts w:ascii="宋体" w:hAnsi="宋体" w:cs="宋体"/>
                <w:color w:val="000000"/>
                <w:kern w:val="0"/>
                <w:sz w:val="20"/>
                <w:szCs w:val="18"/>
              </w:rPr>
              <w:t>5</w:t>
            </w:r>
            <w:r>
              <w:rPr>
                <w:rFonts w:hint="eastAsia" w:ascii="宋体" w:hAnsi="宋体" w:cs="宋体"/>
                <w:color w:val="000000"/>
                <w:kern w:val="0"/>
                <w:sz w:val="20"/>
                <w:szCs w:val="18"/>
              </w:rPr>
              <w:t>分）</w:t>
            </w:r>
          </w:p>
        </w:tc>
        <w:tc>
          <w:tcPr>
            <w:tcW w:w="8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目标设定</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（9分）</w:t>
            </w:r>
          </w:p>
        </w:tc>
        <w:tc>
          <w:tcPr>
            <w:tcW w:w="15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kern w:val="0"/>
                <w:sz w:val="20"/>
                <w:szCs w:val="18"/>
              </w:rPr>
              <w:t>绩效目标申报目标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72" w:hRule="atLeast"/>
        </w:trPr>
        <w:tc>
          <w:tcPr>
            <w:tcW w:w="8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kern w:val="0"/>
                <w:sz w:val="20"/>
                <w:szCs w:val="18"/>
              </w:rPr>
              <w:t>绩效目标合理性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rPr>
          <w:trHeight w:val="336" w:hRule="atLeast"/>
        </w:trPr>
        <w:tc>
          <w:tcPr>
            <w:tcW w:w="8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kern w:val="0"/>
                <w:sz w:val="20"/>
                <w:szCs w:val="18"/>
              </w:rPr>
              <w:t>绩效指标明确性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1.5</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1.5</w:t>
            </w:r>
          </w:p>
        </w:tc>
      </w:tr>
      <w:tr>
        <w:tblPrEx>
          <w:tblCellMar>
            <w:top w:w="0" w:type="dxa"/>
            <w:left w:w="108" w:type="dxa"/>
            <w:bottom w:w="0" w:type="dxa"/>
            <w:right w:w="108" w:type="dxa"/>
          </w:tblCellMar>
        </w:tblPrEx>
        <w:trPr>
          <w:trHeight w:val="271" w:hRule="atLeast"/>
        </w:trPr>
        <w:tc>
          <w:tcPr>
            <w:tcW w:w="8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预算配置</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（6分）</w:t>
            </w:r>
          </w:p>
        </w:tc>
        <w:tc>
          <w:tcPr>
            <w:tcW w:w="15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kern w:val="0"/>
                <w:sz w:val="20"/>
                <w:szCs w:val="18"/>
              </w:rPr>
              <w:t>在职人员控制率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0</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r>
      <w:tr>
        <w:tblPrEx>
          <w:tblCellMar>
            <w:top w:w="0" w:type="dxa"/>
            <w:left w:w="108" w:type="dxa"/>
            <w:bottom w:w="0" w:type="dxa"/>
            <w:right w:w="108" w:type="dxa"/>
          </w:tblCellMar>
        </w:tblPrEx>
        <w:trPr>
          <w:trHeight w:val="271" w:hRule="atLeast"/>
        </w:trPr>
        <w:tc>
          <w:tcPr>
            <w:tcW w:w="8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kern w:val="0"/>
                <w:sz w:val="20"/>
                <w:szCs w:val="18"/>
              </w:rPr>
              <w:t>“三公经费 ”变动率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rPr>
        <w:tc>
          <w:tcPr>
            <w:tcW w:w="8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18"/>
              </w:rPr>
            </w:pPr>
            <w:r>
              <w:rPr>
                <w:rFonts w:hint="eastAsia" w:ascii="宋体" w:hAnsi="宋体" w:cs="宋体"/>
                <w:kern w:val="0"/>
                <w:sz w:val="20"/>
                <w:szCs w:val="18"/>
              </w:rPr>
              <w:t>重点支出安排率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0</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r>
      <w:tr>
        <w:trPr>
          <w:trHeight w:val="280" w:hRule="atLeast"/>
        </w:trPr>
        <w:tc>
          <w:tcPr>
            <w:tcW w:w="171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15</w:t>
            </w:r>
          </w:p>
        </w:tc>
        <w:tc>
          <w:tcPr>
            <w:tcW w:w="6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9.5</w:t>
            </w:r>
          </w:p>
        </w:tc>
        <w:tc>
          <w:tcPr>
            <w:tcW w:w="6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5.5</w:t>
            </w:r>
          </w:p>
        </w:tc>
      </w:tr>
    </w:tbl>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r>
        <w:rPr>
          <w:rFonts w:hint="eastAsia" w:ascii="宋体" w:hAnsi="宋体" w:cs="宋体"/>
          <w:bCs/>
          <w:sz w:val="22"/>
        </w:rPr>
        <w:t>（二）过程指标</w:t>
      </w:r>
    </w:p>
    <w:p>
      <w:pPr>
        <w:spacing w:line="360" w:lineRule="auto"/>
        <w:ind w:firstLine="440" w:firstLineChars="200"/>
        <w:rPr>
          <w:rFonts w:ascii="宋体" w:hAnsi="宋体" w:cs="宋体"/>
          <w:bCs/>
          <w:sz w:val="22"/>
        </w:rPr>
      </w:pPr>
      <w:r>
        <w:rPr>
          <w:rFonts w:hint="eastAsia" w:ascii="宋体" w:hAnsi="宋体" w:cs="宋体"/>
          <w:bCs/>
          <w:sz w:val="22"/>
        </w:rPr>
        <w:t>过程指标，该指标分值</w:t>
      </w:r>
      <w:r>
        <w:rPr>
          <w:rFonts w:ascii="宋体" w:hAnsi="宋体" w:cs="宋体"/>
          <w:bCs/>
          <w:sz w:val="22"/>
        </w:rPr>
        <w:t>3</w:t>
      </w:r>
      <w:r>
        <w:rPr>
          <w:rFonts w:hint="eastAsia" w:ascii="宋体" w:hAnsi="宋体" w:cs="宋体"/>
          <w:bCs/>
          <w:sz w:val="22"/>
        </w:rPr>
        <w:t>5分，评价得分</w:t>
      </w:r>
      <w:r>
        <w:rPr>
          <w:rFonts w:ascii="宋体" w:hAnsi="宋体" w:cs="宋体"/>
          <w:bCs/>
          <w:sz w:val="22"/>
        </w:rPr>
        <w:t>31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其中预算执行方面设置分值</w:t>
      </w:r>
      <w:r>
        <w:rPr>
          <w:rFonts w:ascii="宋体" w:hAnsi="宋体" w:cs="宋体"/>
          <w:bCs/>
          <w:sz w:val="22"/>
        </w:rPr>
        <w:t>15</w:t>
      </w:r>
      <w:r>
        <w:rPr>
          <w:rFonts w:hint="eastAsia" w:ascii="宋体" w:hAnsi="宋体" w:cs="宋体"/>
          <w:bCs/>
          <w:sz w:val="22"/>
        </w:rPr>
        <w:t>分，评价得分</w:t>
      </w:r>
      <w:r>
        <w:rPr>
          <w:rFonts w:ascii="宋体" w:hAnsi="宋体" w:cs="宋体"/>
          <w:bCs/>
          <w:sz w:val="22"/>
        </w:rPr>
        <w:t>13</w:t>
      </w:r>
      <w:r>
        <w:rPr>
          <w:rFonts w:hint="eastAsia" w:ascii="宋体" w:hAnsi="宋体" w:cs="宋体"/>
          <w:bCs/>
          <w:sz w:val="22"/>
        </w:rPr>
        <w:t>分，扣分</w:t>
      </w:r>
      <w:r>
        <w:rPr>
          <w:rFonts w:ascii="宋体" w:hAnsi="宋体" w:cs="宋体"/>
          <w:bCs/>
          <w:sz w:val="22"/>
        </w:rPr>
        <w:t>2</w:t>
      </w:r>
      <w:r>
        <w:rPr>
          <w:rFonts w:hint="eastAsia" w:ascii="宋体" w:hAnsi="宋体" w:cs="宋体"/>
          <w:bCs/>
          <w:sz w:val="22"/>
        </w:rPr>
        <w:t>分，主要原因是：（</w:t>
      </w:r>
      <w:r>
        <w:rPr>
          <w:rFonts w:ascii="宋体" w:hAnsi="宋体" w:cs="宋体"/>
          <w:bCs/>
          <w:sz w:val="22"/>
        </w:rPr>
        <w:t>1</w:t>
      </w:r>
      <w:r>
        <w:rPr>
          <w:rFonts w:hint="eastAsia" w:ascii="宋体" w:hAnsi="宋体" w:cs="宋体"/>
          <w:bCs/>
          <w:sz w:val="22"/>
        </w:rPr>
        <w:t>）支付进度率为9</w:t>
      </w:r>
      <w:r>
        <w:rPr>
          <w:rFonts w:ascii="宋体" w:hAnsi="宋体" w:cs="宋体"/>
          <w:bCs/>
          <w:sz w:val="22"/>
        </w:rPr>
        <w:t>7.93%</w:t>
      </w:r>
      <w:r>
        <w:rPr>
          <w:rFonts w:hint="eastAsia" w:ascii="宋体" w:hAnsi="宋体" w:cs="宋体"/>
          <w:bCs/>
          <w:sz w:val="22"/>
        </w:rPr>
        <w:t>＜1</w:t>
      </w:r>
      <w:r>
        <w:rPr>
          <w:rFonts w:ascii="宋体" w:hAnsi="宋体" w:cs="宋体"/>
          <w:bCs/>
          <w:sz w:val="22"/>
        </w:rPr>
        <w:t>00%</w:t>
      </w:r>
      <w:r>
        <w:rPr>
          <w:rFonts w:hint="eastAsia" w:ascii="宋体" w:hAnsi="宋体" w:cs="宋体"/>
          <w:bCs/>
          <w:sz w:val="22"/>
        </w:rPr>
        <w:t>，按照评分规则，扣1分；（</w:t>
      </w:r>
      <w:r>
        <w:rPr>
          <w:rFonts w:ascii="宋体" w:hAnsi="宋体" w:cs="宋体"/>
          <w:bCs/>
          <w:sz w:val="22"/>
        </w:rPr>
        <w:t>2</w:t>
      </w:r>
      <w:r>
        <w:rPr>
          <w:rFonts w:hint="eastAsia" w:ascii="宋体" w:hAnsi="宋体" w:cs="宋体"/>
          <w:bCs/>
          <w:sz w:val="22"/>
        </w:rPr>
        <w:t>）结转结余率为2</w:t>
      </w:r>
      <w:r>
        <w:rPr>
          <w:rFonts w:ascii="宋体" w:hAnsi="宋体" w:cs="宋体"/>
          <w:bCs/>
          <w:sz w:val="22"/>
        </w:rPr>
        <w:t>.07%</w:t>
      </w:r>
      <w:r>
        <w:rPr>
          <w:rFonts w:hint="eastAsia" w:ascii="宋体" w:hAnsi="宋体" w:cs="宋体"/>
          <w:bCs/>
          <w:sz w:val="22"/>
        </w:rPr>
        <w:t>＞0，按照评分规则，扣</w:t>
      </w:r>
      <w:r>
        <w:rPr>
          <w:rFonts w:ascii="宋体" w:hAnsi="宋体" w:cs="宋体"/>
          <w:bCs/>
          <w:sz w:val="22"/>
        </w:rPr>
        <w:t>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其中预算管理方面设置分值</w:t>
      </w:r>
      <w:r>
        <w:rPr>
          <w:rFonts w:ascii="宋体" w:hAnsi="宋体" w:cs="宋体"/>
          <w:bCs/>
          <w:sz w:val="22"/>
        </w:rPr>
        <w:t>15</w:t>
      </w:r>
      <w:r>
        <w:rPr>
          <w:rFonts w:hint="eastAsia" w:ascii="宋体" w:hAnsi="宋体" w:cs="宋体"/>
          <w:bCs/>
          <w:sz w:val="22"/>
        </w:rPr>
        <w:t>分，评价得分</w:t>
      </w:r>
      <w:r>
        <w:rPr>
          <w:rFonts w:ascii="宋体" w:hAnsi="宋体" w:cs="宋体"/>
          <w:bCs/>
          <w:sz w:val="22"/>
        </w:rPr>
        <w:t>13</w:t>
      </w:r>
      <w:r>
        <w:rPr>
          <w:rFonts w:hint="eastAsia" w:ascii="宋体" w:hAnsi="宋体" w:cs="宋体"/>
          <w:bCs/>
          <w:sz w:val="22"/>
        </w:rPr>
        <w:t>分，扣分</w:t>
      </w:r>
      <w:r>
        <w:rPr>
          <w:rFonts w:ascii="宋体" w:hAnsi="宋体" w:cs="宋体"/>
          <w:bCs/>
          <w:sz w:val="22"/>
        </w:rPr>
        <w:t>2</w:t>
      </w:r>
      <w:r>
        <w:rPr>
          <w:rFonts w:hint="eastAsia" w:ascii="宋体" w:hAnsi="宋体" w:cs="宋体"/>
          <w:bCs/>
          <w:sz w:val="22"/>
        </w:rPr>
        <w:t>分，主要原因是：项目单位预算管理方面，未严格按照预算批复使用资金，二级项目间有预算调整，且调整手续不完善，未按照《湖北省知识产权财务管理办法》规定“确需调整预算时，需经局党组会研究确定”来履行调整手续，扣</w:t>
      </w:r>
      <w:r>
        <w:rPr>
          <w:rFonts w:ascii="宋体" w:hAnsi="宋体" w:cs="宋体"/>
          <w:bCs/>
          <w:sz w:val="22"/>
        </w:rPr>
        <w:t>2</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其中资产管理方面设置分值</w:t>
      </w:r>
      <w:r>
        <w:rPr>
          <w:rFonts w:ascii="宋体" w:hAnsi="宋体" w:cs="宋体"/>
          <w:bCs/>
          <w:sz w:val="22"/>
        </w:rPr>
        <w:t>5</w:t>
      </w:r>
      <w:r>
        <w:rPr>
          <w:rFonts w:hint="eastAsia" w:ascii="宋体" w:hAnsi="宋体" w:cs="宋体"/>
          <w:bCs/>
          <w:sz w:val="22"/>
        </w:rPr>
        <w:t>分，评价得分</w:t>
      </w:r>
      <w:r>
        <w:rPr>
          <w:rFonts w:ascii="宋体" w:hAnsi="宋体" w:cs="宋体"/>
          <w:bCs/>
          <w:sz w:val="22"/>
        </w:rPr>
        <w:t>5</w:t>
      </w:r>
      <w:r>
        <w:rPr>
          <w:rFonts w:hint="eastAsia" w:ascii="宋体" w:hAnsi="宋体" w:cs="宋体"/>
          <w:bCs/>
          <w:sz w:val="22"/>
        </w:rPr>
        <w:t>分。省知识产权局在资产管理方面，制定并执行《湖北省知识产权局国有资产管理办法》，无闲置资产，管理规范。该项指标具体评分结果如下：</w:t>
      </w:r>
    </w:p>
    <w:tbl>
      <w:tblPr>
        <w:tblStyle w:val="15"/>
        <w:tblW w:w="5000" w:type="pct"/>
        <w:tblInd w:w="0" w:type="dxa"/>
        <w:tblLayout w:type="autofit"/>
        <w:tblCellMar>
          <w:top w:w="0" w:type="dxa"/>
          <w:left w:w="108" w:type="dxa"/>
          <w:bottom w:w="0" w:type="dxa"/>
          <w:right w:w="108" w:type="dxa"/>
        </w:tblCellMar>
      </w:tblPr>
      <w:tblGrid>
        <w:gridCol w:w="1445"/>
        <w:gridCol w:w="1475"/>
        <w:gridCol w:w="2608"/>
        <w:gridCol w:w="730"/>
        <w:gridCol w:w="1163"/>
        <w:gridCol w:w="1107"/>
      </w:tblGrid>
      <w:tr>
        <w:tblPrEx>
          <w:tblCellMar>
            <w:top w:w="0" w:type="dxa"/>
            <w:left w:w="108" w:type="dxa"/>
            <w:bottom w:w="0" w:type="dxa"/>
            <w:right w:w="108" w:type="dxa"/>
          </w:tblCellMar>
        </w:tblPrEx>
        <w:trPr>
          <w:trHeight w:val="280" w:hRule="atLeast"/>
          <w:tblHeader/>
        </w:trPr>
        <w:tc>
          <w:tcPr>
            <w:tcW w:w="8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一级指标</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二级指标</w:t>
            </w:r>
          </w:p>
        </w:tc>
        <w:tc>
          <w:tcPr>
            <w:tcW w:w="15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18"/>
              </w:rPr>
            </w:pPr>
            <w:r>
              <w:rPr>
                <w:rFonts w:hint="eastAsia" w:ascii="宋体" w:hAnsi="宋体" w:cs="宋体"/>
                <w:b/>
                <w:bCs/>
                <w:kern w:val="0"/>
                <w:sz w:val="20"/>
                <w:szCs w:val="18"/>
              </w:rPr>
              <w:t>三级指标</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分值</w:t>
            </w:r>
          </w:p>
        </w:tc>
        <w:tc>
          <w:tcPr>
            <w:tcW w:w="6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得分</w:t>
            </w:r>
          </w:p>
        </w:tc>
        <w:tc>
          <w:tcPr>
            <w:tcW w:w="6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扣分</w:t>
            </w:r>
          </w:p>
        </w:tc>
      </w:tr>
      <w:tr>
        <w:tblPrEx>
          <w:tblCellMar>
            <w:top w:w="0" w:type="dxa"/>
            <w:left w:w="108" w:type="dxa"/>
            <w:bottom w:w="0" w:type="dxa"/>
            <w:right w:w="108" w:type="dxa"/>
          </w:tblCellMar>
        </w:tblPrEx>
        <w:trPr>
          <w:trHeight w:val="337" w:hRule="atLeast"/>
          <w:tblHeader/>
        </w:trPr>
        <w:tc>
          <w:tcPr>
            <w:tcW w:w="847" w:type="pct"/>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r>
              <w:rPr>
                <w:rFonts w:hint="eastAsia" w:ascii="宋体" w:hAnsi="宋体" w:cs="宋体"/>
                <w:color w:val="000000"/>
                <w:kern w:val="0"/>
                <w:sz w:val="20"/>
                <w:szCs w:val="18"/>
              </w:rPr>
              <w:t>过程指标（</w:t>
            </w:r>
            <w:r>
              <w:rPr>
                <w:rFonts w:ascii="宋体" w:hAnsi="宋体" w:cs="宋体"/>
                <w:color w:val="000000"/>
                <w:kern w:val="0"/>
                <w:sz w:val="20"/>
                <w:szCs w:val="18"/>
              </w:rPr>
              <w:t>35</w:t>
            </w:r>
            <w:r>
              <w:rPr>
                <w:rFonts w:hint="eastAsia" w:ascii="宋体" w:hAnsi="宋体" w:cs="宋体"/>
                <w:color w:val="000000"/>
                <w:kern w:val="0"/>
                <w:sz w:val="20"/>
                <w:szCs w:val="18"/>
              </w:rPr>
              <w:t>分）</w:t>
            </w:r>
          </w:p>
        </w:tc>
        <w:tc>
          <w:tcPr>
            <w:tcW w:w="865"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预算执行</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（15分）</w:t>
            </w:r>
          </w:p>
        </w:tc>
        <w:tc>
          <w:tcPr>
            <w:tcW w:w="1529"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sz w:val="18"/>
                <w:szCs w:val="18"/>
              </w:rPr>
              <w:t>预算完成率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0</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预算调整率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支付进度率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结转结余率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结转结余变动率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公用经费控制率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18"/>
              </w:rPr>
            </w:pPr>
          </w:p>
        </w:tc>
        <w:tc>
          <w:tcPr>
            <w:tcW w:w="865"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“三公经费 ”控制率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37" w:hRule="atLeast"/>
          <w:tblHeader/>
        </w:trPr>
        <w:tc>
          <w:tcPr>
            <w:tcW w:w="847"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8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预算管理</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w:t>
            </w:r>
            <w:r>
              <w:rPr>
                <w:rFonts w:ascii="宋体" w:hAnsi="宋体" w:cs="宋体"/>
                <w:color w:val="000000"/>
                <w:kern w:val="0"/>
                <w:sz w:val="20"/>
                <w:szCs w:val="18"/>
              </w:rPr>
              <w:t>15</w:t>
            </w:r>
            <w:r>
              <w:rPr>
                <w:rFonts w:hint="eastAsia" w:ascii="宋体" w:hAnsi="宋体" w:cs="宋体"/>
                <w:color w:val="000000"/>
                <w:kern w:val="0"/>
                <w:sz w:val="20"/>
                <w:szCs w:val="18"/>
              </w:rPr>
              <w:t>分）</w:t>
            </w:r>
          </w:p>
        </w:tc>
        <w:tc>
          <w:tcPr>
            <w:tcW w:w="1529"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sz w:val="18"/>
                <w:szCs w:val="18"/>
              </w:rPr>
              <w:t>管理制度健全性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4</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r>
      <w:tr>
        <w:tblPrEx>
          <w:tblCellMar>
            <w:top w:w="0" w:type="dxa"/>
            <w:left w:w="108" w:type="dxa"/>
            <w:bottom w:w="0" w:type="dxa"/>
            <w:right w:w="108" w:type="dxa"/>
          </w:tblCellMar>
        </w:tblPrEx>
        <w:trPr>
          <w:trHeight w:val="272" w:hRule="atLeast"/>
          <w:tblHeader/>
        </w:trPr>
        <w:tc>
          <w:tcPr>
            <w:tcW w:w="84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财政预算资金使用合规性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6</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5</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1</w:t>
            </w:r>
          </w:p>
        </w:tc>
      </w:tr>
      <w:tr>
        <w:tblPrEx>
          <w:tblCellMar>
            <w:top w:w="0" w:type="dxa"/>
            <w:left w:w="108" w:type="dxa"/>
            <w:bottom w:w="0" w:type="dxa"/>
            <w:right w:w="108" w:type="dxa"/>
          </w:tblCellMar>
        </w:tblPrEx>
        <w:trPr>
          <w:trHeight w:val="272" w:hRule="atLeast"/>
          <w:tblHeader/>
        </w:trPr>
        <w:tc>
          <w:tcPr>
            <w:tcW w:w="84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预算信息公开性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36" w:hRule="atLeast"/>
          <w:tblHeader/>
        </w:trPr>
        <w:tc>
          <w:tcPr>
            <w:tcW w:w="84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基础信息完善性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3</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71" w:hRule="atLeast"/>
          <w:tblHeader/>
        </w:trPr>
        <w:tc>
          <w:tcPr>
            <w:tcW w:w="84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资产管理</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w:t>
            </w:r>
            <w:r>
              <w:rPr>
                <w:rFonts w:ascii="宋体" w:hAnsi="宋体" w:cs="宋体"/>
                <w:color w:val="000000"/>
                <w:kern w:val="0"/>
                <w:sz w:val="20"/>
                <w:szCs w:val="18"/>
              </w:rPr>
              <w:t>5</w:t>
            </w:r>
            <w:r>
              <w:rPr>
                <w:rFonts w:hint="eastAsia" w:ascii="宋体" w:hAnsi="宋体" w:cs="宋体"/>
                <w:color w:val="000000"/>
                <w:kern w:val="0"/>
                <w:sz w:val="20"/>
                <w:szCs w:val="18"/>
              </w:rPr>
              <w:t>分）</w:t>
            </w:r>
          </w:p>
        </w:tc>
        <w:tc>
          <w:tcPr>
            <w:tcW w:w="1529"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sz w:val="18"/>
                <w:szCs w:val="18"/>
              </w:rPr>
              <w:t>管理制度健全性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71" w:hRule="atLeast"/>
          <w:tblHeader/>
        </w:trPr>
        <w:tc>
          <w:tcPr>
            <w:tcW w:w="847"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资产管理安全性</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c>
          <w:tcPr>
            <w:tcW w:w="649" w:type="pct"/>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blHeader/>
        </w:trPr>
        <w:tc>
          <w:tcPr>
            <w:tcW w:w="84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529" w:type="pct"/>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ascii="宋体" w:hAnsi="宋体" w:cs="宋体"/>
                <w:sz w:val="18"/>
                <w:szCs w:val="18"/>
              </w:rPr>
              <w:t>固定资产利用率</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w:t>
            </w:r>
          </w:p>
        </w:tc>
        <w:tc>
          <w:tcPr>
            <w:tcW w:w="6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1</w:t>
            </w:r>
          </w:p>
        </w:tc>
        <w:tc>
          <w:tcPr>
            <w:tcW w:w="649" w:type="pct"/>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blHeader/>
        </w:trPr>
        <w:tc>
          <w:tcPr>
            <w:tcW w:w="171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35</w:t>
            </w:r>
          </w:p>
        </w:tc>
        <w:tc>
          <w:tcPr>
            <w:tcW w:w="6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31</w:t>
            </w:r>
          </w:p>
        </w:tc>
        <w:tc>
          <w:tcPr>
            <w:tcW w:w="6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4</w:t>
            </w:r>
          </w:p>
        </w:tc>
      </w:tr>
    </w:tbl>
    <w:p>
      <w:pPr>
        <w:spacing w:line="360" w:lineRule="auto"/>
        <w:ind w:firstLine="440" w:firstLineChars="200"/>
        <w:rPr>
          <w:rFonts w:ascii="宋体" w:hAnsi="宋体" w:cs="宋体"/>
          <w:bCs/>
          <w:sz w:val="22"/>
        </w:rPr>
      </w:pPr>
      <w:r>
        <w:rPr>
          <w:rFonts w:hint="eastAsia" w:ascii="宋体" w:hAnsi="宋体" w:cs="宋体"/>
          <w:bCs/>
          <w:sz w:val="22"/>
        </w:rPr>
        <w:t>（三）产出指标</w:t>
      </w:r>
    </w:p>
    <w:p>
      <w:pPr>
        <w:spacing w:line="360" w:lineRule="auto"/>
        <w:ind w:firstLine="440" w:firstLineChars="200"/>
        <w:rPr>
          <w:rFonts w:ascii="宋体" w:hAnsi="宋体" w:cs="宋体"/>
          <w:bCs/>
          <w:sz w:val="22"/>
        </w:rPr>
      </w:pPr>
      <w:r>
        <w:rPr>
          <w:rFonts w:hint="eastAsia" w:ascii="宋体" w:hAnsi="宋体" w:cs="宋体"/>
          <w:bCs/>
          <w:sz w:val="22"/>
        </w:rPr>
        <w:t>产出指标，该指标分值</w:t>
      </w:r>
      <w:r>
        <w:rPr>
          <w:rFonts w:ascii="宋体" w:hAnsi="宋体" w:cs="宋体"/>
          <w:bCs/>
          <w:sz w:val="22"/>
        </w:rPr>
        <w:t>39</w:t>
      </w:r>
      <w:r>
        <w:rPr>
          <w:rFonts w:hint="eastAsia" w:ascii="宋体" w:hAnsi="宋体" w:cs="宋体"/>
          <w:bCs/>
          <w:sz w:val="22"/>
        </w:rPr>
        <w:t>分，评价得分</w:t>
      </w:r>
      <w:r>
        <w:rPr>
          <w:rFonts w:ascii="宋体" w:hAnsi="宋体" w:cs="宋体"/>
          <w:bCs/>
          <w:sz w:val="22"/>
        </w:rPr>
        <w:t>33.5</w:t>
      </w:r>
      <w:r>
        <w:rPr>
          <w:rFonts w:hint="eastAsia" w:ascii="宋体" w:hAnsi="宋体" w:cs="宋体"/>
          <w:bCs/>
          <w:sz w:val="22"/>
        </w:rPr>
        <w:t>分。在单位职能目标完成情况方面，整体完成情况较好，除培训宣传人数受新冠疫情影响未能完成外，其他均超额完成。但部分绩效目标设置较为保守，偏差率较大。具体扣分项目为：宣传培训人数目标值</w:t>
      </w:r>
      <w:r>
        <w:rPr>
          <w:rFonts w:ascii="宋体" w:hAnsi="宋体" w:cs="宋体"/>
          <w:bCs/>
          <w:sz w:val="22"/>
        </w:rPr>
        <w:t>700</w:t>
      </w:r>
      <w:r>
        <w:rPr>
          <w:rFonts w:hint="eastAsia" w:ascii="宋体" w:hAnsi="宋体" w:cs="宋体"/>
          <w:bCs/>
          <w:sz w:val="22"/>
        </w:rPr>
        <w:t>人，完成值6</w:t>
      </w:r>
      <w:r>
        <w:rPr>
          <w:rFonts w:ascii="宋体" w:hAnsi="宋体" w:cs="宋体"/>
          <w:bCs/>
          <w:sz w:val="22"/>
        </w:rPr>
        <w:t>73</w:t>
      </w:r>
      <w:r>
        <w:rPr>
          <w:rFonts w:hint="eastAsia" w:ascii="宋体" w:hAnsi="宋体" w:cs="宋体"/>
          <w:bCs/>
          <w:sz w:val="22"/>
        </w:rPr>
        <w:t>人，完成率为9</w:t>
      </w:r>
      <w:r>
        <w:rPr>
          <w:rFonts w:ascii="宋体" w:hAnsi="宋体" w:cs="宋体"/>
          <w:bCs/>
          <w:sz w:val="22"/>
        </w:rPr>
        <w:t>6.14%,</w:t>
      </w:r>
      <w:r>
        <w:rPr>
          <w:rFonts w:hint="eastAsia" w:ascii="宋体" w:hAnsi="宋体" w:cs="宋体"/>
          <w:bCs/>
          <w:sz w:val="22"/>
        </w:rPr>
        <w:t>扣1分；教育试点学校数量目标值1</w:t>
      </w:r>
      <w:r>
        <w:rPr>
          <w:rFonts w:ascii="宋体" w:hAnsi="宋体" w:cs="宋体"/>
          <w:bCs/>
          <w:sz w:val="22"/>
        </w:rPr>
        <w:t>0</w:t>
      </w:r>
      <w:r>
        <w:rPr>
          <w:rFonts w:hint="eastAsia" w:ascii="宋体" w:hAnsi="宋体" w:cs="宋体"/>
          <w:bCs/>
          <w:sz w:val="22"/>
        </w:rPr>
        <w:t>家，完成值</w:t>
      </w:r>
      <w:r>
        <w:rPr>
          <w:rFonts w:ascii="宋体" w:hAnsi="宋体" w:cs="宋体"/>
          <w:bCs/>
          <w:sz w:val="22"/>
        </w:rPr>
        <w:t>20</w:t>
      </w:r>
      <w:r>
        <w:rPr>
          <w:rFonts w:hint="eastAsia" w:ascii="宋体" w:hAnsi="宋体" w:cs="宋体"/>
          <w:bCs/>
          <w:sz w:val="22"/>
        </w:rPr>
        <w:t>家，完成率2</w:t>
      </w:r>
      <w:r>
        <w:rPr>
          <w:rFonts w:ascii="宋体" w:hAnsi="宋体" w:cs="宋体"/>
          <w:bCs/>
          <w:sz w:val="22"/>
        </w:rPr>
        <w:t>00%</w:t>
      </w:r>
      <w:r>
        <w:rPr>
          <w:rFonts w:hint="eastAsia" w:ascii="宋体" w:hAnsi="宋体" w:cs="宋体"/>
          <w:bCs/>
          <w:sz w:val="22"/>
        </w:rPr>
        <w:t>，目标设置较为保守，扣1</w:t>
      </w:r>
      <w:r>
        <w:rPr>
          <w:rFonts w:ascii="宋体" w:hAnsi="宋体" w:cs="宋体"/>
          <w:bCs/>
          <w:sz w:val="22"/>
        </w:rPr>
        <w:t>.5</w:t>
      </w:r>
      <w:r>
        <w:rPr>
          <w:rFonts w:hint="eastAsia" w:ascii="宋体" w:hAnsi="宋体" w:cs="宋体"/>
          <w:bCs/>
          <w:sz w:val="22"/>
        </w:rPr>
        <w:t>分；新增地理标志注册目标值不少于6件，完成值2</w:t>
      </w:r>
      <w:r>
        <w:rPr>
          <w:rFonts w:ascii="宋体" w:hAnsi="宋体" w:cs="宋体"/>
          <w:bCs/>
          <w:sz w:val="22"/>
        </w:rPr>
        <w:t>5</w:t>
      </w:r>
      <w:r>
        <w:rPr>
          <w:rFonts w:hint="eastAsia" w:ascii="宋体" w:hAnsi="宋体" w:cs="宋体"/>
          <w:bCs/>
          <w:sz w:val="22"/>
        </w:rPr>
        <w:t>件，完成率4</w:t>
      </w:r>
      <w:r>
        <w:rPr>
          <w:rFonts w:ascii="宋体" w:hAnsi="宋体" w:cs="宋体"/>
          <w:bCs/>
          <w:sz w:val="22"/>
        </w:rPr>
        <w:t>16%</w:t>
      </w:r>
      <w:r>
        <w:rPr>
          <w:rFonts w:hint="eastAsia" w:ascii="宋体" w:hAnsi="宋体" w:cs="宋体"/>
          <w:bCs/>
          <w:sz w:val="22"/>
        </w:rPr>
        <w:t>，目标设置较为保守，扣</w:t>
      </w:r>
      <w:r>
        <w:rPr>
          <w:rFonts w:ascii="宋体" w:hAnsi="宋体" w:cs="宋体"/>
          <w:bCs/>
          <w:sz w:val="22"/>
        </w:rPr>
        <w:t>1.5</w:t>
      </w:r>
      <w:r>
        <w:rPr>
          <w:rFonts w:hint="eastAsia" w:ascii="宋体" w:hAnsi="宋体" w:cs="宋体"/>
          <w:bCs/>
          <w:sz w:val="22"/>
        </w:rPr>
        <w:t>分；软科学项目立项件数目标值</w:t>
      </w:r>
      <w:r>
        <w:rPr>
          <w:rFonts w:ascii="宋体" w:hAnsi="宋体" w:cs="宋体"/>
          <w:bCs/>
          <w:sz w:val="22"/>
        </w:rPr>
        <w:t>5</w:t>
      </w:r>
      <w:r>
        <w:rPr>
          <w:rFonts w:hint="eastAsia" w:ascii="宋体" w:hAnsi="宋体" w:cs="宋体"/>
          <w:bCs/>
          <w:sz w:val="22"/>
        </w:rPr>
        <w:t>项，完成值</w:t>
      </w:r>
      <w:r>
        <w:rPr>
          <w:rFonts w:ascii="宋体" w:hAnsi="宋体" w:cs="宋体"/>
          <w:bCs/>
          <w:sz w:val="22"/>
        </w:rPr>
        <w:t>14</w:t>
      </w:r>
      <w:r>
        <w:rPr>
          <w:rFonts w:hint="eastAsia" w:ascii="宋体" w:hAnsi="宋体" w:cs="宋体"/>
          <w:bCs/>
          <w:sz w:val="22"/>
        </w:rPr>
        <w:t>项，完成率</w:t>
      </w:r>
      <w:r>
        <w:rPr>
          <w:rFonts w:ascii="宋体" w:hAnsi="宋体" w:cs="宋体"/>
          <w:bCs/>
          <w:sz w:val="22"/>
        </w:rPr>
        <w:t>280%</w:t>
      </w:r>
      <w:r>
        <w:rPr>
          <w:rFonts w:hint="eastAsia" w:ascii="宋体" w:hAnsi="宋体" w:cs="宋体"/>
          <w:bCs/>
          <w:sz w:val="22"/>
        </w:rPr>
        <w:t>，扣</w:t>
      </w:r>
      <w:r>
        <w:rPr>
          <w:rFonts w:ascii="宋体" w:hAnsi="宋体" w:cs="宋体"/>
          <w:bCs/>
          <w:sz w:val="22"/>
        </w:rPr>
        <w:t>1.5</w:t>
      </w:r>
      <w:r>
        <w:rPr>
          <w:rFonts w:hint="eastAsia" w:ascii="宋体" w:hAnsi="宋体" w:cs="宋体"/>
          <w:bCs/>
          <w:sz w:val="22"/>
        </w:rPr>
        <w:t>分。该项指标具体评分结果如下：</w:t>
      </w:r>
    </w:p>
    <w:tbl>
      <w:tblPr>
        <w:tblStyle w:val="15"/>
        <w:tblW w:w="4863" w:type="pct"/>
        <w:tblInd w:w="0" w:type="dxa"/>
        <w:tblLayout w:type="fixed"/>
        <w:tblCellMar>
          <w:top w:w="0" w:type="dxa"/>
          <w:left w:w="108" w:type="dxa"/>
          <w:bottom w:w="0" w:type="dxa"/>
          <w:right w:w="108" w:type="dxa"/>
        </w:tblCellMar>
      </w:tblPr>
      <w:tblGrid>
        <w:gridCol w:w="1298"/>
        <w:gridCol w:w="1608"/>
        <w:gridCol w:w="2475"/>
        <w:gridCol w:w="1165"/>
        <w:gridCol w:w="876"/>
        <w:gridCol w:w="871"/>
      </w:tblGrid>
      <w:tr>
        <w:tblPrEx>
          <w:tblCellMar>
            <w:top w:w="0" w:type="dxa"/>
            <w:left w:w="108" w:type="dxa"/>
            <w:bottom w:w="0" w:type="dxa"/>
            <w:right w:w="108" w:type="dxa"/>
          </w:tblCellMar>
        </w:tblPrEx>
        <w:trPr>
          <w:trHeight w:val="300" w:hRule="atLeast"/>
          <w:tblHeader/>
        </w:trPr>
        <w:tc>
          <w:tcPr>
            <w:tcW w:w="7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分值</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得分</w:t>
            </w:r>
          </w:p>
        </w:tc>
        <w:tc>
          <w:tcPr>
            <w:tcW w:w="525" w:type="pct"/>
            <w:tcBorders>
              <w:top w:val="single" w:color="auto" w:sz="4" w:space="0"/>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扣分</w:t>
            </w:r>
          </w:p>
        </w:tc>
      </w:tr>
      <w:tr>
        <w:tblPrEx>
          <w:tblCellMar>
            <w:top w:w="0" w:type="dxa"/>
            <w:left w:w="108" w:type="dxa"/>
            <w:bottom w:w="0" w:type="dxa"/>
            <w:right w:w="108" w:type="dxa"/>
          </w:tblCellMar>
        </w:tblPrEx>
        <w:trPr>
          <w:trHeight w:val="340" w:hRule="atLeast"/>
        </w:trPr>
        <w:tc>
          <w:tcPr>
            <w:tcW w:w="783"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p>
            <w:pPr>
              <w:widowControl/>
              <w:jc w:val="center"/>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r>
              <w:rPr>
                <w:rFonts w:hint="eastAsia" w:ascii="宋体" w:hAnsi="宋体" w:cs="宋体"/>
                <w:kern w:val="0"/>
                <w:sz w:val="20"/>
                <w:szCs w:val="20"/>
              </w:rPr>
              <w:t>分）</w:t>
            </w:r>
          </w:p>
          <w:p>
            <w:pPr>
              <w:jc w:val="center"/>
              <w:rPr>
                <w:rFonts w:ascii="宋体" w:hAnsi="宋体" w:cs="宋体"/>
                <w:kern w:val="0"/>
                <w:sz w:val="20"/>
                <w:szCs w:val="20"/>
              </w:rPr>
            </w:pPr>
          </w:p>
        </w:tc>
        <w:tc>
          <w:tcPr>
            <w:tcW w:w="970" w:type="pct"/>
            <w:vMerge w:val="restart"/>
            <w:tcBorders>
              <w:top w:val="nil"/>
              <w:left w:val="nil"/>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单位职能目标完成情况</w:t>
            </w:r>
          </w:p>
          <w:p>
            <w:pPr>
              <w:jc w:val="center"/>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知识产权宣传培训人数</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高价值培育项目数</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highlight w:val="cyan"/>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教育试点学校数量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运用示范单位数量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海外护航服务数量</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软科学项目立项件数</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新增地理标志注册</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新增驰名商标申请</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品牌运用示范项目</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sz w:val="18"/>
                <w:szCs w:val="18"/>
              </w:rPr>
              <w:t>全省专利授权量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企业发明专利授权量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全省高价值发明专利拥有量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70"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全省有效商标注册量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rPr>
        <w:tc>
          <w:tcPr>
            <w:tcW w:w="175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49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39</w:t>
            </w:r>
          </w:p>
        </w:tc>
        <w:tc>
          <w:tcPr>
            <w:tcW w:w="5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33.5</w:t>
            </w:r>
          </w:p>
        </w:tc>
        <w:tc>
          <w:tcPr>
            <w:tcW w:w="5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5.5</w:t>
            </w:r>
          </w:p>
        </w:tc>
      </w:tr>
    </w:tbl>
    <w:p>
      <w:pPr>
        <w:spacing w:line="360" w:lineRule="auto"/>
        <w:ind w:firstLine="440" w:firstLineChars="200"/>
        <w:rPr>
          <w:rFonts w:ascii="宋体" w:hAnsi="宋体" w:cs="宋体"/>
          <w:bCs/>
          <w:sz w:val="22"/>
        </w:rPr>
      </w:pPr>
      <w:r>
        <w:rPr>
          <w:rFonts w:hint="eastAsia" w:ascii="宋体" w:hAnsi="宋体" w:cs="宋体"/>
          <w:bCs/>
          <w:sz w:val="22"/>
        </w:rPr>
        <w:t>（四）效果指标</w:t>
      </w:r>
    </w:p>
    <w:p>
      <w:pPr>
        <w:spacing w:line="360" w:lineRule="auto"/>
        <w:ind w:firstLine="440" w:firstLineChars="200"/>
        <w:rPr>
          <w:rFonts w:ascii="宋体" w:hAnsi="宋体" w:cs="宋体"/>
          <w:bCs/>
          <w:sz w:val="22"/>
        </w:rPr>
      </w:pPr>
      <w:r>
        <w:rPr>
          <w:rFonts w:hint="eastAsia" w:ascii="宋体" w:hAnsi="宋体" w:cs="宋体"/>
          <w:bCs/>
          <w:sz w:val="22"/>
        </w:rPr>
        <w:t>效果指标，该指标分值</w:t>
      </w:r>
      <w:r>
        <w:rPr>
          <w:rFonts w:ascii="宋体" w:hAnsi="宋体" w:cs="宋体"/>
          <w:bCs/>
          <w:sz w:val="22"/>
        </w:rPr>
        <w:t>11</w:t>
      </w:r>
      <w:r>
        <w:rPr>
          <w:rFonts w:hint="eastAsia" w:ascii="宋体" w:hAnsi="宋体" w:cs="宋体"/>
          <w:bCs/>
          <w:sz w:val="22"/>
        </w:rPr>
        <w:t>分，评价得分</w:t>
      </w:r>
      <w:r>
        <w:rPr>
          <w:rFonts w:ascii="宋体" w:hAnsi="宋体" w:cs="宋体"/>
          <w:bCs/>
          <w:sz w:val="22"/>
        </w:rPr>
        <w:t>11</w:t>
      </w:r>
      <w:r>
        <w:rPr>
          <w:rFonts w:hint="eastAsia" w:ascii="宋体" w:hAnsi="宋体" w:cs="宋体"/>
          <w:bCs/>
          <w:sz w:val="22"/>
        </w:rPr>
        <w:t>分。湖北省2</w:t>
      </w:r>
      <w:r>
        <w:rPr>
          <w:rFonts w:ascii="宋体" w:hAnsi="宋体" w:cs="宋体"/>
          <w:bCs/>
          <w:sz w:val="22"/>
        </w:rPr>
        <w:t>021</w:t>
      </w:r>
      <w:r>
        <w:rPr>
          <w:rFonts w:hint="eastAsia" w:ascii="宋体" w:hAnsi="宋体" w:cs="宋体"/>
          <w:bCs/>
          <w:sz w:val="22"/>
        </w:rPr>
        <w:t>年度万人发明专利拥有量达到16.09件/万人，全省知识产权质押融资金额50.26亿，同比增长54.4%，社会效益及经济效益显著。</w:t>
      </w:r>
    </w:p>
    <w:p>
      <w:pPr>
        <w:spacing w:line="360" w:lineRule="auto"/>
        <w:ind w:firstLine="440" w:firstLineChars="200"/>
        <w:rPr>
          <w:rFonts w:ascii="宋体" w:hAnsi="宋体" w:cs="宋体"/>
          <w:bCs/>
          <w:sz w:val="22"/>
        </w:rPr>
      </w:pPr>
      <w:r>
        <w:rPr>
          <w:rFonts w:hint="eastAsia" w:ascii="宋体" w:hAnsi="宋体" w:cs="宋体"/>
          <w:bCs/>
          <w:sz w:val="22"/>
        </w:rPr>
        <w:t>在满意度方面，我们通过问卷调查的方式，共收集有效调查问卷1</w:t>
      </w:r>
      <w:r>
        <w:rPr>
          <w:rFonts w:ascii="宋体" w:hAnsi="宋体" w:cs="宋体"/>
          <w:bCs/>
          <w:sz w:val="22"/>
        </w:rPr>
        <w:t>24</w:t>
      </w:r>
      <w:r>
        <w:rPr>
          <w:rFonts w:hint="eastAsia" w:ascii="宋体" w:hAnsi="宋体" w:cs="宋体"/>
          <w:bCs/>
          <w:sz w:val="22"/>
        </w:rPr>
        <w:t>份，经统计计算满意度为9</w:t>
      </w:r>
      <w:r>
        <w:rPr>
          <w:rFonts w:ascii="宋体" w:hAnsi="宋体" w:cs="宋体"/>
          <w:bCs/>
          <w:sz w:val="22"/>
        </w:rPr>
        <w:t>6%</w:t>
      </w:r>
      <w:r>
        <w:rPr>
          <w:rFonts w:hint="eastAsia" w:ascii="宋体" w:hAnsi="宋体" w:cs="宋体"/>
          <w:bCs/>
          <w:sz w:val="22"/>
        </w:rPr>
        <w:t>，满意度较高，履职效益得到社会各界的认可。该项指标具体评分结果如下：</w:t>
      </w:r>
    </w:p>
    <w:tbl>
      <w:tblPr>
        <w:tblStyle w:val="15"/>
        <w:tblW w:w="4863" w:type="pct"/>
        <w:tblInd w:w="0" w:type="dxa"/>
        <w:tblLayout w:type="autofit"/>
        <w:tblCellMar>
          <w:top w:w="0" w:type="dxa"/>
          <w:left w:w="108" w:type="dxa"/>
          <w:bottom w:w="0" w:type="dxa"/>
          <w:right w:w="108" w:type="dxa"/>
        </w:tblCellMar>
      </w:tblPr>
      <w:tblGrid>
        <w:gridCol w:w="1445"/>
        <w:gridCol w:w="1475"/>
        <w:gridCol w:w="2463"/>
        <w:gridCol w:w="1164"/>
        <w:gridCol w:w="873"/>
        <w:gridCol w:w="874"/>
      </w:tblGrid>
      <w:tr>
        <w:tblPrEx>
          <w:tblCellMar>
            <w:top w:w="0" w:type="dxa"/>
            <w:left w:w="108" w:type="dxa"/>
            <w:bottom w:w="0" w:type="dxa"/>
            <w:right w:w="108" w:type="dxa"/>
          </w:tblCellMar>
        </w:tblPrEx>
        <w:trPr>
          <w:trHeight w:val="280" w:hRule="atLeast"/>
        </w:trPr>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一级指标</w:t>
            </w:r>
          </w:p>
        </w:tc>
        <w:tc>
          <w:tcPr>
            <w:tcW w:w="8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二级指标</w:t>
            </w:r>
          </w:p>
        </w:tc>
        <w:tc>
          <w:tcPr>
            <w:tcW w:w="14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18"/>
              </w:rPr>
            </w:pPr>
            <w:r>
              <w:rPr>
                <w:rFonts w:hint="eastAsia" w:ascii="宋体" w:hAnsi="宋体" w:cs="宋体"/>
                <w:b/>
                <w:bCs/>
                <w:kern w:val="0"/>
                <w:sz w:val="20"/>
                <w:szCs w:val="18"/>
              </w:rPr>
              <w:t>三级指标</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分值</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得分</w:t>
            </w:r>
          </w:p>
        </w:tc>
        <w:tc>
          <w:tcPr>
            <w:tcW w:w="5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18"/>
              </w:rPr>
            </w:pPr>
            <w:r>
              <w:rPr>
                <w:rFonts w:hint="eastAsia" w:ascii="宋体" w:hAnsi="宋体" w:cs="宋体"/>
                <w:b/>
                <w:bCs/>
                <w:color w:val="000000"/>
                <w:kern w:val="0"/>
                <w:sz w:val="20"/>
                <w:szCs w:val="18"/>
              </w:rPr>
              <w:t>扣分</w:t>
            </w:r>
          </w:p>
        </w:tc>
      </w:tr>
      <w:tr>
        <w:tblPrEx>
          <w:tblCellMar>
            <w:top w:w="0" w:type="dxa"/>
            <w:left w:w="108" w:type="dxa"/>
            <w:bottom w:w="0" w:type="dxa"/>
            <w:right w:w="108" w:type="dxa"/>
          </w:tblCellMar>
        </w:tblPrEx>
        <w:trPr>
          <w:trHeight w:val="337" w:hRule="atLeast"/>
        </w:trPr>
        <w:tc>
          <w:tcPr>
            <w:tcW w:w="8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效果指标（1</w:t>
            </w:r>
            <w:r>
              <w:rPr>
                <w:rFonts w:ascii="宋体" w:hAnsi="宋体" w:cs="宋体"/>
                <w:color w:val="000000"/>
                <w:kern w:val="0"/>
                <w:sz w:val="20"/>
                <w:szCs w:val="18"/>
              </w:rPr>
              <w:t>1</w:t>
            </w:r>
            <w:r>
              <w:rPr>
                <w:rFonts w:hint="eastAsia" w:ascii="宋体" w:hAnsi="宋体" w:cs="宋体"/>
                <w:color w:val="000000"/>
                <w:kern w:val="0"/>
                <w:sz w:val="20"/>
                <w:szCs w:val="18"/>
              </w:rPr>
              <w:t>分）</w:t>
            </w:r>
          </w:p>
        </w:tc>
        <w:tc>
          <w:tcPr>
            <w:tcW w:w="88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履职效益</w:t>
            </w:r>
          </w:p>
          <w:p>
            <w:pPr>
              <w:widowControl/>
              <w:jc w:val="center"/>
              <w:rPr>
                <w:rFonts w:ascii="宋体" w:hAnsi="宋体" w:cs="宋体"/>
                <w:color w:val="000000"/>
                <w:kern w:val="0"/>
                <w:sz w:val="20"/>
                <w:szCs w:val="18"/>
              </w:rPr>
            </w:pPr>
            <w:r>
              <w:rPr>
                <w:rFonts w:hint="eastAsia" w:ascii="宋体" w:hAnsi="宋体" w:cs="宋体"/>
                <w:color w:val="000000"/>
                <w:kern w:val="0"/>
                <w:sz w:val="20"/>
                <w:szCs w:val="18"/>
              </w:rPr>
              <w:t>（11分）</w:t>
            </w:r>
          </w:p>
        </w:tc>
        <w:tc>
          <w:tcPr>
            <w:tcW w:w="14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社会效益</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5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72" w:hRule="atLeast"/>
        </w:trPr>
        <w:tc>
          <w:tcPr>
            <w:tcW w:w="8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89"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14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经济效益</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3</w:t>
            </w:r>
          </w:p>
        </w:tc>
        <w:tc>
          <w:tcPr>
            <w:tcW w:w="5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71" w:hRule="atLeast"/>
        </w:trPr>
        <w:tc>
          <w:tcPr>
            <w:tcW w:w="8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18"/>
              </w:rPr>
            </w:pPr>
          </w:p>
        </w:tc>
        <w:tc>
          <w:tcPr>
            <w:tcW w:w="889"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p>
        </w:tc>
        <w:tc>
          <w:tcPr>
            <w:tcW w:w="14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18"/>
              </w:rPr>
            </w:pPr>
            <w:r>
              <w:rPr>
                <w:rFonts w:hint="eastAsia" w:ascii="宋体" w:hAnsi="宋体" w:cs="宋体"/>
                <w:color w:val="000000"/>
                <w:kern w:val="0"/>
                <w:sz w:val="20"/>
                <w:szCs w:val="18"/>
              </w:rPr>
              <w:t>社会公众或服务对象满意度</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5</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ascii="宋体" w:hAnsi="宋体" w:cs="宋体"/>
                <w:color w:val="000000"/>
                <w:kern w:val="0"/>
                <w:sz w:val="20"/>
                <w:szCs w:val="18"/>
              </w:rPr>
              <w:t>5</w:t>
            </w:r>
          </w:p>
        </w:tc>
        <w:tc>
          <w:tcPr>
            <w:tcW w:w="5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rPr>
        <w:tc>
          <w:tcPr>
            <w:tcW w:w="1760"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485"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11</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11</w:t>
            </w:r>
          </w:p>
        </w:tc>
        <w:tc>
          <w:tcPr>
            <w:tcW w:w="5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color w:val="000000"/>
                <w:kern w:val="0"/>
                <w:sz w:val="20"/>
                <w:szCs w:val="18"/>
              </w:rPr>
              <w:t>　</w:t>
            </w:r>
          </w:p>
        </w:tc>
      </w:tr>
    </w:tbl>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评审中发现的主要问题</w:t>
      </w:r>
    </w:p>
    <w:p>
      <w:pPr>
        <w:spacing w:line="360" w:lineRule="auto"/>
        <w:ind w:firstLine="440" w:firstLineChars="200"/>
        <w:rPr>
          <w:rFonts w:ascii="宋体" w:hAnsi="宋体" w:cs="宋体"/>
          <w:bCs/>
          <w:sz w:val="22"/>
        </w:rPr>
      </w:pPr>
      <w:r>
        <w:rPr>
          <w:rFonts w:hint="eastAsia" w:ascii="宋体" w:hAnsi="宋体" w:cs="宋体"/>
          <w:bCs/>
          <w:sz w:val="22"/>
        </w:rPr>
        <w:t>（一）局机关行政编制人员数量超出核定标准</w:t>
      </w:r>
    </w:p>
    <w:p>
      <w:pPr>
        <w:spacing w:line="360" w:lineRule="auto"/>
        <w:ind w:firstLine="440" w:firstLineChars="200"/>
        <w:rPr>
          <w:rFonts w:cs="宋体" w:asciiTheme="minorEastAsia" w:hAnsiTheme="minorEastAsia" w:eastAsiaTheme="minorEastAsia"/>
          <w:sz w:val="22"/>
        </w:rPr>
      </w:pPr>
      <w:r>
        <w:rPr>
          <w:rFonts w:hint="eastAsia" w:ascii="宋体" w:hAnsi="宋体" w:cs="宋体"/>
          <w:bCs/>
          <w:sz w:val="22"/>
        </w:rPr>
        <w:t>政府机构法定、职责法定是法治政府建设的本质要求，也是当前创新机构编制管理、提升管理水平的重要举措。截止2021年底，省知识产权局人员编制为45人，实有在职人员4</w:t>
      </w:r>
      <w:r>
        <w:rPr>
          <w:rFonts w:ascii="宋体" w:hAnsi="宋体" w:cs="宋体"/>
          <w:bCs/>
          <w:sz w:val="22"/>
        </w:rPr>
        <w:t>6</w:t>
      </w:r>
      <w:r>
        <w:rPr>
          <w:rFonts w:hint="eastAsia" w:ascii="宋体" w:hAnsi="宋体" w:cs="宋体"/>
          <w:bCs/>
          <w:sz w:val="22"/>
        </w:rPr>
        <w:t>人</w:t>
      </w:r>
      <w:r>
        <w:rPr>
          <w:rFonts w:hint="eastAsia" w:cs="宋体" w:asciiTheme="minorEastAsia" w:hAnsiTheme="minorEastAsia" w:eastAsiaTheme="minorEastAsia"/>
          <w:sz w:val="22"/>
        </w:rPr>
        <w:t>，超编率1</w:t>
      </w:r>
      <w:r>
        <w:rPr>
          <w:rFonts w:cs="宋体" w:asciiTheme="minorEastAsia" w:hAnsiTheme="minorEastAsia" w:eastAsiaTheme="minorEastAsia"/>
          <w:sz w:val="22"/>
        </w:rPr>
        <w:t>02%</w:t>
      </w:r>
      <w:r>
        <w:rPr>
          <w:rFonts w:hint="eastAsia" w:cs="宋体" w:asciiTheme="minorEastAsia" w:hAnsiTheme="minorEastAsia" w:eastAsiaTheme="minorEastAsia"/>
          <w:sz w:val="22"/>
        </w:rPr>
        <w:t>。</w:t>
      </w:r>
    </w:p>
    <w:p>
      <w:pPr>
        <w:spacing w:line="360" w:lineRule="auto"/>
        <w:ind w:firstLine="440" w:firstLineChars="200"/>
        <w:rPr>
          <w:rFonts w:ascii="宋体" w:hAnsi="宋体" w:cs="宋体"/>
          <w:bCs/>
          <w:sz w:val="22"/>
        </w:rPr>
      </w:pPr>
      <w:r>
        <w:rPr>
          <w:rFonts w:hint="eastAsia" w:ascii="宋体" w:hAnsi="宋体" w:cs="宋体"/>
          <w:bCs/>
          <w:sz w:val="22"/>
        </w:rPr>
        <w:t xml:space="preserve">（二）预算编制不精细，未按照二级项目予以细化，尚未形成成熟稳定的项目库。 </w:t>
      </w:r>
    </w:p>
    <w:p>
      <w:pPr>
        <w:spacing w:line="360" w:lineRule="auto"/>
        <w:ind w:firstLine="440" w:firstLineChars="200"/>
        <w:rPr>
          <w:rFonts w:ascii="宋体" w:hAnsi="宋体" w:cs="宋体"/>
          <w:bCs/>
          <w:sz w:val="22"/>
        </w:rPr>
      </w:pPr>
      <w:r>
        <w:rPr>
          <w:rFonts w:hint="eastAsia" w:ascii="宋体" w:hAnsi="宋体" w:cs="宋体"/>
          <w:bCs/>
          <w:sz w:val="22"/>
        </w:rPr>
        <w:t>项目作为部门预算管理的基本单元，预算支出应当全部以项目形式体现，并基于项目实施项目全生命周期管理。同时在对项目立项管理上，应当配套相关管理制度及标准，用以规范立项依据、实施期限、支出标准、预算需求等要素。</w:t>
      </w:r>
      <w:bookmarkStart w:id="1" w:name="_Hlk102830824"/>
      <w:r>
        <w:rPr>
          <w:rFonts w:hint="eastAsia" w:ascii="宋体" w:hAnsi="宋体" w:cs="宋体"/>
          <w:bCs/>
          <w:sz w:val="22"/>
        </w:rPr>
        <w:t>湖北省知识产权局在财政预算申报中，将项目支出预算全部在“知识产权转化引导及发展专项资金”一个项目中申报，总预算金额1</w:t>
      </w:r>
      <w:r>
        <w:rPr>
          <w:rFonts w:ascii="宋体" w:hAnsi="宋体" w:cs="宋体"/>
          <w:bCs/>
          <w:sz w:val="22"/>
        </w:rPr>
        <w:t>719</w:t>
      </w:r>
      <w:r>
        <w:rPr>
          <w:rFonts w:hint="eastAsia" w:ascii="宋体" w:hAnsi="宋体" w:cs="宋体"/>
          <w:bCs/>
          <w:sz w:val="22"/>
        </w:rPr>
        <w:t>万元，并未将二级项目预算予以细化上报。在实际工作中，将总预算汇总过程所形成二级项目（约3</w:t>
      </w:r>
      <w:r>
        <w:rPr>
          <w:rFonts w:ascii="宋体" w:hAnsi="宋体" w:cs="宋体"/>
          <w:bCs/>
          <w:sz w:val="22"/>
        </w:rPr>
        <w:t>3</w:t>
      </w:r>
      <w:r>
        <w:rPr>
          <w:rFonts w:hint="eastAsia" w:ascii="宋体" w:hAnsi="宋体" w:cs="宋体"/>
          <w:bCs/>
          <w:sz w:val="22"/>
        </w:rPr>
        <w:t>项）的预算自行整理；在已确定二级项目中并未按照各处室部门职责、项目实施性质及目的等共性特征进行分类，而是按照费用分类作为二级项目，</w:t>
      </w:r>
      <w:bookmarkEnd w:id="1"/>
      <w:r>
        <w:rPr>
          <w:rFonts w:hint="eastAsia" w:ascii="宋体" w:hAnsi="宋体" w:cs="宋体"/>
          <w:bCs/>
          <w:sz w:val="22"/>
        </w:rPr>
        <w:t>例如申报“其他知识产权事务-差旅费6</w:t>
      </w:r>
      <w:r>
        <w:rPr>
          <w:rFonts w:ascii="宋体" w:hAnsi="宋体" w:cs="宋体"/>
          <w:bCs/>
          <w:sz w:val="22"/>
        </w:rPr>
        <w:t>7</w:t>
      </w:r>
      <w:r>
        <w:rPr>
          <w:rFonts w:hint="eastAsia" w:ascii="宋体" w:hAnsi="宋体" w:cs="宋体"/>
          <w:bCs/>
          <w:sz w:val="22"/>
        </w:rPr>
        <w:t>.</w:t>
      </w:r>
      <w:r>
        <w:rPr>
          <w:rFonts w:ascii="宋体" w:hAnsi="宋体" w:cs="宋体"/>
          <w:bCs/>
          <w:sz w:val="22"/>
        </w:rPr>
        <w:t>6</w:t>
      </w:r>
      <w:r>
        <w:rPr>
          <w:rFonts w:hint="eastAsia" w:ascii="宋体" w:hAnsi="宋体" w:cs="宋体"/>
          <w:bCs/>
          <w:sz w:val="22"/>
        </w:rPr>
        <w:t>万元</w:t>
      </w:r>
      <w:r>
        <w:rPr>
          <w:rFonts w:ascii="宋体" w:hAnsi="宋体" w:cs="宋体"/>
          <w:bCs/>
          <w:sz w:val="22"/>
        </w:rPr>
        <w:t>”</w:t>
      </w:r>
      <w:r>
        <w:rPr>
          <w:rFonts w:hint="eastAsia" w:ascii="宋体" w:hAnsi="宋体" w:cs="宋体"/>
          <w:bCs/>
          <w:sz w:val="22"/>
        </w:rPr>
        <w:t>、“其他知识产权事务-各类评审劳务费7</w:t>
      </w:r>
      <w:r>
        <w:rPr>
          <w:rFonts w:ascii="宋体" w:hAnsi="宋体" w:cs="宋体"/>
          <w:bCs/>
          <w:sz w:val="22"/>
        </w:rPr>
        <w:t>0</w:t>
      </w:r>
      <w:r>
        <w:rPr>
          <w:rFonts w:hint="eastAsia" w:ascii="宋体" w:hAnsi="宋体" w:cs="宋体"/>
          <w:bCs/>
          <w:sz w:val="22"/>
        </w:rPr>
        <w:t>万元”，且申报预算测算依据不充分，申报的差旅费无年度出差计划及标准明细。</w:t>
      </w:r>
    </w:p>
    <w:p>
      <w:pPr>
        <w:spacing w:line="360" w:lineRule="auto"/>
        <w:ind w:firstLine="440" w:firstLineChars="200"/>
        <w:rPr>
          <w:rFonts w:ascii="宋体" w:hAnsi="宋体" w:cs="宋体"/>
          <w:bCs/>
          <w:sz w:val="22"/>
        </w:rPr>
      </w:pPr>
      <w:r>
        <w:rPr>
          <w:rFonts w:hint="eastAsia" w:ascii="宋体" w:hAnsi="宋体" w:cs="宋体"/>
          <w:bCs/>
          <w:sz w:val="22"/>
        </w:rPr>
        <w:t>由于省知识产权局对预算采用上述方式进行管理，无法形成标准明确、成熟稳定的预算项目库，以及基于项目库立项的管控程序、绩效目标。</w:t>
      </w:r>
    </w:p>
    <w:p>
      <w:pPr>
        <w:spacing w:line="360" w:lineRule="auto"/>
        <w:ind w:firstLine="440" w:firstLineChars="200"/>
        <w:rPr>
          <w:rFonts w:ascii="宋体" w:hAnsi="宋体" w:cs="宋体"/>
          <w:bCs/>
          <w:sz w:val="22"/>
        </w:rPr>
      </w:pPr>
      <w:bookmarkStart w:id="2" w:name="_Hlk101999601"/>
      <w:r>
        <w:rPr>
          <w:rFonts w:hint="eastAsia" w:ascii="宋体" w:hAnsi="宋体" w:cs="宋体"/>
          <w:bCs/>
          <w:sz w:val="22"/>
        </w:rPr>
        <w:t>（三）部门整体绩效指标侧重于项目支出绩效，绩效评价体系有待进一步优化</w:t>
      </w:r>
    </w:p>
    <w:p>
      <w:pPr>
        <w:spacing w:line="360" w:lineRule="auto"/>
        <w:ind w:firstLine="440" w:firstLineChars="200"/>
        <w:rPr>
          <w:rFonts w:ascii="宋体" w:hAnsi="宋体" w:cs="宋体"/>
          <w:bCs/>
          <w:sz w:val="22"/>
        </w:rPr>
      </w:pPr>
      <w:r>
        <w:rPr>
          <w:rFonts w:hint="eastAsia" w:ascii="宋体" w:hAnsi="宋体" w:cs="宋体"/>
          <w:bCs/>
          <w:sz w:val="22"/>
        </w:rPr>
        <w:t>部门整体支出绩效指标与标准的设置，应当围绕部门职责、业务发展规划，以预算资金管理为主线，统筹考虑资产和业务活动，从运行成本、管理效率、履职效能、社会效益和服务满意度方面，按照不同维度、不同权重予以设置。湖北省知识产权局当前部门整体绩效目标主要集中于产出指标，侧重于项目支出绩效，未能清晰展现部门整体预算绩效与基本支出绩效、项目支出绩效、专项资金绩效之间的层次、勾稽关联关系，未能清晰体现部门二级项目、一级项目、部门整体绩效目标的层级汇总关系，难以体现出部门预算支出与部门绩效之间的衔接对应关系。</w:t>
      </w:r>
    </w:p>
    <w:p>
      <w:pPr>
        <w:spacing w:line="360" w:lineRule="auto"/>
        <w:ind w:firstLine="440" w:firstLineChars="200"/>
        <w:rPr>
          <w:rFonts w:ascii="宋体" w:hAnsi="宋体" w:cs="宋体"/>
          <w:bCs/>
          <w:sz w:val="22"/>
        </w:rPr>
      </w:pPr>
      <w:r>
        <w:rPr>
          <w:rFonts w:hint="eastAsia" w:ascii="宋体" w:hAnsi="宋体" w:cs="宋体"/>
          <w:bCs/>
          <w:sz w:val="22"/>
        </w:rPr>
        <w:t>湖北省知识产权局在部门整体预算绩效评价与管理制度方面有待进一步完善，应当持续优化绩效目标、绩效监控、绩效评价、结果应用等管理流程，不断建立健全部门共性绩效指标框架和分类型个性化指标体系，将绩效目标、绩效评分、绩效应用与部门预算、职责紧密关联，保证预算绩效管理标准科学、程序规范、方法合理、结果可信。</w:t>
      </w:r>
    </w:p>
    <w:bookmarkEnd w:id="2"/>
    <w:p>
      <w:pPr>
        <w:spacing w:line="360" w:lineRule="auto"/>
        <w:ind w:firstLine="440" w:firstLineChars="200"/>
        <w:rPr>
          <w:rFonts w:ascii="宋体" w:hAnsi="宋体" w:cs="宋体"/>
          <w:bCs/>
          <w:sz w:val="22"/>
        </w:rPr>
      </w:pPr>
      <w:r>
        <w:rPr>
          <w:rFonts w:hint="eastAsia" w:ascii="宋体" w:hAnsi="宋体" w:cs="宋体"/>
          <w:bCs/>
          <w:sz w:val="22"/>
        </w:rPr>
        <w:t>（四）</w:t>
      </w:r>
      <w:bookmarkStart w:id="3" w:name="_Hlk102001411"/>
      <w:r>
        <w:rPr>
          <w:rFonts w:hint="eastAsia" w:ascii="宋体" w:hAnsi="宋体" w:cs="宋体"/>
          <w:bCs/>
          <w:sz w:val="22"/>
        </w:rPr>
        <w:t>部分绩效指标值设置不合理，部分绩效指标未完成</w:t>
      </w:r>
    </w:p>
    <w:p>
      <w:pPr>
        <w:spacing w:line="360" w:lineRule="auto"/>
        <w:ind w:firstLine="440" w:firstLineChars="200"/>
        <w:rPr>
          <w:rFonts w:ascii="宋体" w:hAnsi="宋体" w:cs="宋体"/>
          <w:bCs/>
          <w:sz w:val="22"/>
        </w:rPr>
      </w:pPr>
      <w:r>
        <w:rPr>
          <w:rFonts w:hint="eastAsia" w:ascii="宋体" w:hAnsi="宋体" w:cs="宋体"/>
          <w:bCs/>
          <w:sz w:val="22"/>
        </w:rPr>
        <w:t>绩效指标值应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在指标值设置上应当遵循适度压力的原则，具有一定挑战性和压力性，原则上，相同指标的指标值设置应当较上年完成情况有所提升。省知识产权局设置的部分指标值偏低，如（1）2</w:t>
      </w:r>
      <w:r>
        <w:rPr>
          <w:rFonts w:ascii="宋体" w:hAnsi="宋体" w:cs="宋体"/>
          <w:bCs/>
          <w:sz w:val="22"/>
        </w:rPr>
        <w:t>021</w:t>
      </w:r>
      <w:r>
        <w:rPr>
          <w:rFonts w:hint="eastAsia" w:ascii="宋体" w:hAnsi="宋体" w:cs="宋体"/>
          <w:bCs/>
          <w:sz w:val="22"/>
        </w:rPr>
        <w:t>年度新增地理标志注册不少于6件，完成值25件，完成率416%，且2</w:t>
      </w:r>
      <w:r>
        <w:rPr>
          <w:rFonts w:ascii="宋体" w:hAnsi="宋体" w:cs="宋体"/>
          <w:bCs/>
          <w:sz w:val="22"/>
        </w:rPr>
        <w:t>020</w:t>
      </w:r>
      <w:r>
        <w:rPr>
          <w:rFonts w:hint="eastAsia" w:ascii="宋体" w:hAnsi="宋体" w:cs="宋体"/>
          <w:bCs/>
          <w:sz w:val="22"/>
        </w:rPr>
        <w:t>年度该指标值为28件，本年度指标值较上年下降。</w:t>
      </w:r>
      <w:bookmarkEnd w:id="3"/>
      <w:r>
        <w:rPr>
          <w:rFonts w:hint="eastAsia" w:ascii="宋体" w:hAnsi="宋体" w:cs="宋体"/>
          <w:bCs/>
          <w:sz w:val="22"/>
        </w:rPr>
        <w:t>（2）2</w:t>
      </w:r>
      <w:r>
        <w:rPr>
          <w:rFonts w:ascii="宋体" w:hAnsi="宋体" w:cs="宋体"/>
          <w:bCs/>
          <w:sz w:val="22"/>
        </w:rPr>
        <w:t>021</w:t>
      </w:r>
      <w:r>
        <w:rPr>
          <w:rFonts w:hint="eastAsia" w:ascii="宋体" w:hAnsi="宋体" w:cs="宋体"/>
          <w:bCs/>
          <w:sz w:val="22"/>
        </w:rPr>
        <w:t>年度中小学知识产权教育试点学校数量不少于10家，完成值20家，完成率200%；但2</w:t>
      </w:r>
      <w:r>
        <w:rPr>
          <w:rFonts w:ascii="宋体" w:hAnsi="宋体" w:cs="宋体"/>
          <w:bCs/>
          <w:sz w:val="22"/>
        </w:rPr>
        <w:t>020</w:t>
      </w:r>
      <w:r>
        <w:rPr>
          <w:rFonts w:hint="eastAsia" w:ascii="宋体" w:hAnsi="宋体" w:cs="宋体"/>
          <w:bCs/>
          <w:sz w:val="22"/>
        </w:rPr>
        <w:t>年该指标值为20家，本年度指标值较上年下降。</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021</w:t>
      </w:r>
      <w:r>
        <w:rPr>
          <w:rFonts w:hint="eastAsia" w:ascii="宋体" w:hAnsi="宋体" w:cs="宋体"/>
          <w:bCs/>
          <w:sz w:val="22"/>
        </w:rPr>
        <w:t>年知识产权宣传培训人数目标值不少于700人，完成值6</w:t>
      </w:r>
      <w:r>
        <w:rPr>
          <w:rFonts w:ascii="宋体" w:hAnsi="宋体" w:cs="宋体"/>
          <w:bCs/>
          <w:sz w:val="22"/>
        </w:rPr>
        <w:t>73</w:t>
      </w:r>
      <w:r>
        <w:rPr>
          <w:rFonts w:hint="eastAsia" w:ascii="宋体" w:hAnsi="宋体" w:cs="宋体"/>
          <w:bCs/>
          <w:sz w:val="22"/>
        </w:rPr>
        <w:t>人，完成率为9</w:t>
      </w:r>
      <w:r>
        <w:rPr>
          <w:rFonts w:ascii="宋体" w:hAnsi="宋体" w:cs="宋体"/>
          <w:bCs/>
          <w:sz w:val="22"/>
        </w:rPr>
        <w:t>6.14%</w:t>
      </w:r>
      <w:r>
        <w:rPr>
          <w:rFonts w:hint="eastAsia" w:ascii="宋体" w:hAnsi="宋体" w:cs="宋体"/>
          <w:bCs/>
          <w:sz w:val="22"/>
        </w:rPr>
        <w:t>，未能实现年度绩效目标。按照内部管理的二级项目预算情况，部分二级项目存在超预算和相互挪用挤占的情况，例如（1）品牌提升宣传项目预算支出5</w:t>
      </w:r>
      <w:r>
        <w:rPr>
          <w:rFonts w:ascii="宋体" w:hAnsi="宋体" w:cs="宋体"/>
          <w:bCs/>
          <w:sz w:val="22"/>
        </w:rPr>
        <w:t>7</w:t>
      </w:r>
      <w:r>
        <w:rPr>
          <w:rFonts w:hint="eastAsia" w:ascii="宋体" w:hAnsi="宋体" w:cs="宋体"/>
          <w:bCs/>
          <w:sz w:val="22"/>
        </w:rPr>
        <w:t>万元，实际执行7</w:t>
      </w:r>
      <w:r>
        <w:rPr>
          <w:rFonts w:ascii="宋体" w:hAnsi="宋体" w:cs="宋体"/>
          <w:bCs/>
          <w:sz w:val="22"/>
        </w:rPr>
        <w:t>1.8</w:t>
      </w:r>
      <w:r>
        <w:rPr>
          <w:rFonts w:hint="eastAsia" w:ascii="宋体" w:hAnsi="宋体" w:cs="宋体"/>
          <w:bCs/>
          <w:sz w:val="22"/>
        </w:rPr>
        <w:t>万元，超出预算1</w:t>
      </w:r>
      <w:r>
        <w:rPr>
          <w:rFonts w:ascii="宋体" w:hAnsi="宋体" w:cs="宋体"/>
          <w:bCs/>
          <w:sz w:val="22"/>
        </w:rPr>
        <w:t>4.8</w:t>
      </w:r>
      <w:r>
        <w:rPr>
          <w:rFonts w:hint="eastAsia" w:ascii="宋体" w:hAnsi="宋体" w:cs="宋体"/>
          <w:bCs/>
          <w:sz w:val="22"/>
        </w:rPr>
        <w:t>万元的部分，占用品牌培育创新项目的预算支出；（2）三大工程维护服务项目预算支出</w:t>
      </w:r>
      <w:r>
        <w:rPr>
          <w:rFonts w:ascii="宋体" w:hAnsi="宋体" w:cs="宋体"/>
          <w:bCs/>
          <w:sz w:val="22"/>
        </w:rPr>
        <w:t>42</w:t>
      </w:r>
      <w:r>
        <w:rPr>
          <w:rFonts w:hint="eastAsia" w:ascii="宋体" w:hAnsi="宋体" w:cs="宋体"/>
          <w:bCs/>
          <w:sz w:val="22"/>
        </w:rPr>
        <w:t>万元，实际执行</w:t>
      </w:r>
      <w:r>
        <w:rPr>
          <w:rFonts w:ascii="宋体" w:hAnsi="宋体" w:cs="宋体"/>
          <w:bCs/>
          <w:sz w:val="22"/>
        </w:rPr>
        <w:t>49.7</w:t>
      </w:r>
      <w:r>
        <w:rPr>
          <w:rFonts w:hint="eastAsia" w:ascii="宋体" w:hAnsi="宋体" w:cs="宋体"/>
          <w:bCs/>
          <w:sz w:val="22"/>
        </w:rPr>
        <w:t>万元，超出预算</w:t>
      </w:r>
      <w:r>
        <w:rPr>
          <w:rFonts w:ascii="宋体" w:hAnsi="宋体" w:cs="宋体"/>
          <w:bCs/>
          <w:sz w:val="22"/>
        </w:rPr>
        <w:t>7.7</w:t>
      </w:r>
      <w:r>
        <w:rPr>
          <w:rFonts w:hint="eastAsia" w:ascii="宋体" w:hAnsi="宋体" w:cs="宋体"/>
          <w:bCs/>
          <w:sz w:val="22"/>
        </w:rPr>
        <w:t>万元的部分，占用知识产权服务项目的预算支出。上述预算调整未见相关制度管理规定或预算内部调整程序。</w:t>
      </w:r>
    </w:p>
    <w:p>
      <w:pPr>
        <w:spacing w:line="360" w:lineRule="auto"/>
        <w:ind w:firstLine="440" w:firstLineChars="200"/>
        <w:rPr>
          <w:rFonts w:ascii="宋体" w:hAnsi="宋体" w:cs="宋体"/>
          <w:bCs/>
          <w:sz w:val="22"/>
        </w:rPr>
      </w:pPr>
      <w:r>
        <w:rPr>
          <w:rFonts w:hint="eastAsia" w:ascii="宋体" w:hAnsi="宋体" w:cs="宋体"/>
          <w:bCs/>
          <w:sz w:val="22"/>
        </w:rPr>
        <w:t>（五）知识产权领域奖补资金项目管理有待进一步精细化管理</w:t>
      </w:r>
    </w:p>
    <w:p>
      <w:pPr>
        <w:spacing w:line="360" w:lineRule="auto"/>
        <w:ind w:firstLine="440" w:firstLineChars="200"/>
        <w:rPr>
          <w:rFonts w:ascii="宋体" w:hAnsi="宋体" w:cs="宋体"/>
          <w:bCs/>
          <w:sz w:val="22"/>
        </w:rPr>
      </w:pPr>
      <w:r>
        <w:rPr>
          <w:rFonts w:hint="eastAsia"/>
          <w:sz w:val="22"/>
        </w:rPr>
        <w:t>湖北省知识产权局对知识产权运用示范工程（专利类）、知识产权双创服务基地建设项目通过部门项目支出发放奖补资金，其中知识产权双创服务基地建设项目申报预算</w:t>
      </w:r>
      <w:r>
        <w:rPr>
          <w:sz w:val="22"/>
        </w:rPr>
        <w:t>200</w:t>
      </w:r>
      <w:r>
        <w:rPr>
          <w:rFonts w:hint="eastAsia"/>
          <w:sz w:val="22"/>
        </w:rPr>
        <w:t>万元，实际执行</w:t>
      </w:r>
      <w:r>
        <w:rPr>
          <w:sz w:val="22"/>
        </w:rPr>
        <w:t>50</w:t>
      </w:r>
      <w:r>
        <w:rPr>
          <w:rFonts w:hint="eastAsia"/>
          <w:sz w:val="22"/>
        </w:rPr>
        <w:t>万元；知识产权运用示范工程（专利类）项目申报预算2</w:t>
      </w:r>
      <w:r>
        <w:rPr>
          <w:sz w:val="22"/>
        </w:rPr>
        <w:t>10</w:t>
      </w:r>
      <w:r>
        <w:rPr>
          <w:rFonts w:hint="eastAsia"/>
          <w:sz w:val="22"/>
        </w:rPr>
        <w:t>万元，实际执行</w:t>
      </w:r>
      <w:r>
        <w:rPr>
          <w:sz w:val="22"/>
        </w:rPr>
        <w:t>135</w:t>
      </w:r>
      <w:r>
        <w:rPr>
          <w:rFonts w:hint="eastAsia"/>
          <w:sz w:val="22"/>
        </w:rPr>
        <w:t>万元。在发放管理上，采用与转移支付项目资金相一致的方式进行，</w:t>
      </w:r>
      <w:r>
        <w:rPr>
          <w:rFonts w:hint="eastAsia" w:ascii="宋体" w:hAnsi="宋体" w:cs="宋体"/>
          <w:bCs/>
          <w:sz w:val="22"/>
        </w:rPr>
        <w:t>按照“申报-评审-公示-确定-验收”等管理流程进行，湖北省知识产权局制定了各类项目实施管理办法及专项资金管理办法，明确了专项资金实行奖励和补助两种方式，但并未将各类项目申报资格条件、奖补发放标准、发放时间、验收条件、奖补资金使用范围等予以细化，在评审发放环节，按照资金预算选择项目库前N名进行资金平均分配，而非以项目申报单位资格条件、实施质量作为项目资金的发放的依据，不利于项目申报单位从根本上提升知识产权创造、保护、运用等方面的质量，不利于发挥财政资金社会引导作用。</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相关建议</w:t>
      </w:r>
    </w:p>
    <w:p>
      <w:pPr>
        <w:spacing w:line="360" w:lineRule="auto"/>
        <w:ind w:firstLine="440" w:firstLineChars="200"/>
        <w:rPr>
          <w:rFonts w:ascii="宋体" w:hAnsi="宋体" w:cs="宋体"/>
          <w:bCs/>
          <w:sz w:val="22"/>
        </w:rPr>
      </w:pPr>
      <w:r>
        <w:rPr>
          <w:rFonts w:hint="eastAsia" w:ascii="宋体" w:hAnsi="宋体" w:cs="宋体"/>
          <w:bCs/>
          <w:sz w:val="22"/>
        </w:rPr>
        <w:t>（一）有序开展预算项目库建设，对所有预算支出实施项目化管理，推动预算精细化管理</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本机关履责情况及部门发展绩效目标，结合既往部门预算项目支出执行情况，按照项目实施目的共性特征，如专项奖励资金、宣传活动、平台运维服务等进行细化分类，或者处室职责及各项活动实施的紧密程度进行立项，着手建立预算项目库，逐步形成稳定、成熟的预算支出体系，实现预算项目编制标准化、模块化、科学化、常态化的目标。在对预算项目的管理上，可以按照跨年度持续型项目、常规性年度项目和新项目进行管理，对于新项目支出立项应当配套评审管控措施，对于缺少预算支出标准的，应当及时完善配套制度，切实提高预算管理的精细化程度。</w:t>
      </w:r>
    </w:p>
    <w:p>
      <w:pPr>
        <w:spacing w:line="360" w:lineRule="auto"/>
        <w:ind w:firstLine="440" w:firstLineChars="200"/>
        <w:rPr>
          <w:rFonts w:ascii="宋体" w:hAnsi="宋体" w:cs="宋体"/>
          <w:bCs/>
          <w:sz w:val="22"/>
        </w:rPr>
      </w:pPr>
      <w:r>
        <w:rPr>
          <w:rFonts w:hint="eastAsia" w:ascii="宋体" w:hAnsi="宋体" w:cs="宋体"/>
          <w:bCs/>
          <w:sz w:val="22"/>
        </w:rPr>
        <w:t>在二级项目在财务核算管理上，应当建立辅助明细账，以便于实现二级项目预算、执行的有效监管，以确保项目实施内容不脱离预算规定范围，项目实施金额在预算额度内。</w:t>
      </w:r>
    </w:p>
    <w:p>
      <w:pPr>
        <w:spacing w:line="360" w:lineRule="auto"/>
        <w:ind w:firstLine="440" w:firstLineChars="200"/>
        <w:rPr>
          <w:rFonts w:ascii="宋体" w:hAnsi="宋体" w:cs="宋体"/>
          <w:bCs/>
          <w:sz w:val="22"/>
        </w:rPr>
      </w:pPr>
      <w:r>
        <w:rPr>
          <w:rFonts w:hint="eastAsia" w:ascii="宋体" w:hAnsi="宋体" w:cs="宋体"/>
          <w:bCs/>
          <w:sz w:val="22"/>
        </w:rPr>
        <w:t>（二）有序推进绩效指标体系建设，实现预算指标科学合理、细化量化</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湖北省“十四五”知识产权规划》等发展规划、部门职责、政策意图，确定部门绩效目标，并以绩效目标作为部门预算安排的重要依据。在对部门绩效目标进行逐步分析、归纳、分解的基础上，细化工作任务清单，</w:t>
      </w:r>
      <w:r>
        <w:rPr>
          <w:rFonts w:ascii="宋体" w:hAnsi="宋体" w:cs="宋体"/>
          <w:bCs/>
          <w:sz w:val="22"/>
        </w:rPr>
        <w:t>通过具体绩效指标予以细化、量化</w:t>
      </w:r>
      <w:r>
        <w:rPr>
          <w:rFonts w:hint="eastAsia" w:ascii="宋体" w:hAnsi="宋体" w:cs="宋体"/>
          <w:bCs/>
          <w:sz w:val="22"/>
        </w:rPr>
        <w:t>，指标值的设定要在考虑可实现性的基础上，尽量从严、从高设定，避免选用难以确定具体指标值、标准不明确或缺乏约束力的指标。</w:t>
      </w:r>
      <w:r>
        <w:rPr>
          <w:rFonts w:ascii="宋体" w:hAnsi="宋体" w:cs="宋体"/>
          <w:bCs/>
          <w:sz w:val="22"/>
        </w:rPr>
        <w:t>一级项目绩效目标</w:t>
      </w:r>
      <w:r>
        <w:rPr>
          <w:rFonts w:hint="eastAsia" w:ascii="宋体" w:hAnsi="宋体" w:cs="宋体"/>
          <w:bCs/>
          <w:sz w:val="22"/>
        </w:rPr>
        <w:t>具有</w:t>
      </w:r>
      <w:r>
        <w:rPr>
          <w:rFonts w:ascii="宋体" w:hAnsi="宋体" w:cs="宋体"/>
          <w:bCs/>
          <w:sz w:val="22"/>
        </w:rPr>
        <w:t>统领</w:t>
      </w:r>
      <w:r>
        <w:rPr>
          <w:rFonts w:hint="eastAsia" w:ascii="宋体" w:hAnsi="宋体" w:cs="宋体"/>
          <w:bCs/>
          <w:sz w:val="22"/>
        </w:rPr>
        <w:t>作用</w:t>
      </w:r>
      <w:r>
        <w:rPr>
          <w:rFonts w:ascii="宋体" w:hAnsi="宋体" w:cs="宋体"/>
          <w:bCs/>
          <w:sz w:val="22"/>
        </w:rPr>
        <w:t>，二级项目是一级项目支出的细化和具体化，反映一级项目部分任务和效果。一、二级项目之间绩效指标</w:t>
      </w:r>
      <w:r>
        <w:rPr>
          <w:rFonts w:hint="eastAsia" w:ascii="宋体" w:hAnsi="宋体" w:cs="宋体"/>
          <w:bCs/>
          <w:sz w:val="22"/>
        </w:rPr>
        <w:t>应当是</w:t>
      </w:r>
      <w:r>
        <w:rPr>
          <w:rFonts w:ascii="宋体" w:hAnsi="宋体" w:cs="宋体"/>
          <w:bCs/>
          <w:sz w:val="22"/>
        </w:rPr>
        <w:t>有机衔接</w:t>
      </w:r>
      <w:r>
        <w:rPr>
          <w:rFonts w:hint="eastAsia" w:ascii="宋体" w:hAnsi="宋体" w:cs="宋体"/>
          <w:bCs/>
          <w:sz w:val="22"/>
        </w:rPr>
        <w:t>的</w:t>
      </w:r>
      <w:r>
        <w:rPr>
          <w:rFonts w:ascii="宋体" w:hAnsi="宋体" w:cs="宋体"/>
          <w:bCs/>
          <w:sz w:val="22"/>
        </w:rPr>
        <w:t>，确保任务相互匹配、指标逻辑对应、数据相互支撑。</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湖北省知识产权局应当采用上述科学的方法规范绩效指标体系的建设，结合部门工作实际及项目实施的特点，设立个性指标，并不断优化整理，从而形成绩效指标库。</w:t>
      </w:r>
      <w:r>
        <w:rPr>
          <w:rFonts w:ascii="宋体" w:hAnsi="宋体" w:cs="宋体"/>
          <w:bCs/>
          <w:sz w:val="22"/>
        </w:rPr>
        <w:t>绩效指标</w:t>
      </w:r>
      <w:r>
        <w:rPr>
          <w:rFonts w:hint="eastAsia" w:ascii="宋体" w:hAnsi="宋体" w:cs="宋体"/>
          <w:bCs/>
          <w:sz w:val="22"/>
        </w:rPr>
        <w:t>应当</w:t>
      </w:r>
      <w:r>
        <w:rPr>
          <w:rFonts w:ascii="宋体" w:hAnsi="宋体" w:cs="宋体"/>
          <w:bCs/>
          <w:sz w:val="22"/>
        </w:rPr>
        <w:t>包括成本指标、产出指标、效益指标和满意度指标四类一级指标</w:t>
      </w:r>
      <w:r>
        <w:rPr>
          <w:rFonts w:hint="eastAsia" w:ascii="宋体" w:hAnsi="宋体" w:cs="宋体"/>
          <w:bCs/>
          <w:sz w:val="22"/>
        </w:rPr>
        <w:t>，</w:t>
      </w:r>
      <w:r>
        <w:rPr>
          <w:rFonts w:ascii="宋体" w:hAnsi="宋体" w:cs="宋体"/>
          <w:bCs/>
          <w:sz w:val="22"/>
        </w:rPr>
        <w:t>原则上每一项目均应设置产出指标和效益指标</w:t>
      </w:r>
      <w:r>
        <w:rPr>
          <w:rFonts w:hint="eastAsia" w:ascii="宋体" w:hAnsi="宋体" w:cs="宋体"/>
          <w:bCs/>
          <w:sz w:val="22"/>
        </w:rPr>
        <w:t>，湖北省知识产权局应当关注绩效指标的全面性、整体性。在社会服务满意度方面，可以通过技术手段在官方网站、服务窗口、项目申报通知或指南等处设置问卷链接二维码，建设社会满意度调查社会取样渠道。同时应当以制度化的方式，将</w:t>
      </w:r>
      <w:r>
        <w:rPr>
          <w:rFonts w:ascii="宋体" w:hAnsi="宋体" w:cs="宋体"/>
          <w:bCs/>
          <w:sz w:val="22"/>
        </w:rPr>
        <w:t>绩效指标完成值取值方式</w:t>
      </w:r>
      <w:r>
        <w:rPr>
          <w:rFonts w:hint="eastAsia" w:ascii="宋体" w:hAnsi="宋体" w:cs="宋体"/>
          <w:bCs/>
          <w:sz w:val="22"/>
        </w:rPr>
        <w:t>、绩效指标赋分规则、绩效评分体系评分规则，保证整个绩效评价工作过程公开透明、有据可依。</w:t>
      </w:r>
    </w:p>
    <w:p>
      <w:pPr>
        <w:spacing w:line="360" w:lineRule="auto"/>
        <w:ind w:firstLine="440" w:firstLineChars="200"/>
        <w:rPr>
          <w:rFonts w:ascii="宋体" w:hAnsi="宋体" w:cs="宋体"/>
          <w:bCs/>
          <w:sz w:val="22"/>
        </w:rPr>
      </w:pPr>
      <w:r>
        <w:rPr>
          <w:rFonts w:hint="eastAsia" w:ascii="宋体" w:hAnsi="宋体" w:cs="宋体"/>
          <w:bCs/>
          <w:sz w:val="22"/>
        </w:rPr>
        <w:t>（三）完善奖补类项目管理制度，规范奖补资金支出</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专项资金实施情况，完善奖补资金的配套机制，明确奖补资金发放的资格条件、办理程序，以及发放的标准以及终止发放、资金管理、验收标准、奖惩监督方式等，选择以资格条件为前提的政策导向作用，增强专项资金在社会申报中的预期，切实发挥财政资金在知识产权领域的引导、激励作用。通过加强奖补项目的全过程的监督管理，保证奖补资金项目公平、公正，实施过程的合法合规，切实提高资金使用效益。</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绩效评价结果应用</w:t>
      </w:r>
    </w:p>
    <w:p>
      <w:pPr>
        <w:spacing w:line="360" w:lineRule="auto"/>
        <w:ind w:firstLine="440" w:firstLineChars="200"/>
        <w:rPr>
          <w:rFonts w:ascii="宋体" w:hAnsi="宋体" w:cs="宋体"/>
          <w:bCs/>
          <w:sz w:val="22"/>
        </w:rPr>
      </w:pPr>
      <w:r>
        <w:rPr>
          <w:rFonts w:hint="eastAsia" w:ascii="宋体" w:hAnsi="宋体" w:cs="宋体"/>
          <w:bCs/>
          <w:sz w:val="22"/>
        </w:rPr>
        <w:t>湖北省知识产权局实施2</w:t>
      </w:r>
      <w:r>
        <w:rPr>
          <w:rFonts w:ascii="宋体" w:hAnsi="宋体" w:cs="宋体"/>
          <w:bCs/>
          <w:sz w:val="22"/>
        </w:rPr>
        <w:t>021</w:t>
      </w:r>
      <w:r>
        <w:rPr>
          <w:rFonts w:hint="eastAsia" w:ascii="宋体" w:hAnsi="宋体" w:cs="宋体"/>
          <w:bCs/>
          <w:sz w:val="22"/>
        </w:rPr>
        <w:t>年部门整体绩效评价工作，是对2</w:t>
      </w:r>
      <w:r>
        <w:rPr>
          <w:rFonts w:ascii="宋体" w:hAnsi="宋体" w:cs="宋体"/>
          <w:bCs/>
          <w:sz w:val="22"/>
        </w:rPr>
        <w:t>021</w:t>
      </w:r>
      <w:r>
        <w:rPr>
          <w:rFonts w:hint="eastAsia" w:ascii="宋体" w:hAnsi="宋体" w:cs="宋体"/>
          <w:bCs/>
          <w:sz w:val="22"/>
        </w:rPr>
        <w:t>年度的绩效目标实现程度和预算执行的监督管控，能够通过本报告发现2</w:t>
      </w:r>
      <w:r>
        <w:rPr>
          <w:rFonts w:ascii="宋体" w:hAnsi="宋体" w:cs="宋体"/>
          <w:bCs/>
          <w:sz w:val="22"/>
        </w:rPr>
        <w:t>021</w:t>
      </w:r>
      <w:r>
        <w:rPr>
          <w:rFonts w:hint="eastAsia" w:ascii="宋体" w:hAnsi="宋体" w:cs="宋体"/>
          <w:bCs/>
          <w:sz w:val="22"/>
        </w:rPr>
        <w:t>年绩效目标未达成或目标制定明显不合理的情况，通过原因总结、分析，为部门预算安排、完善政策和改进管理提供重要依据。同时为以后年度提高预算编制精度、优化项目管控提供参考，切实提高履职效能和公共服务供给质量。本次绩效评价报告作为湖北省知识产权局建立健全绩效评价结果反馈制度和绩效问题整改责任制的重要环节，有利于逐步形成反馈、整改、提升绩效的良性循环的工作机制。</w:t>
      </w:r>
    </w:p>
    <w:p>
      <w:pPr>
        <w:spacing w:line="360" w:lineRule="auto"/>
        <w:ind w:firstLine="440" w:firstLineChars="200"/>
        <w:rPr>
          <w:rFonts w:ascii="宋体" w:hAnsi="宋体" w:cs="宋体"/>
          <w:bCs/>
          <w:sz w:val="22"/>
        </w:rPr>
      </w:pPr>
      <w:r>
        <w:rPr>
          <w:rFonts w:hint="eastAsia" w:ascii="宋体" w:hAnsi="宋体" w:cs="宋体"/>
          <w:bCs/>
          <w:sz w:val="22"/>
        </w:rPr>
        <w:t>通过本次绩效评价，</w:t>
      </w:r>
      <w:r>
        <w:rPr>
          <w:rFonts w:ascii="宋体" w:hAnsi="宋体" w:cs="宋体"/>
          <w:bCs/>
          <w:sz w:val="22"/>
        </w:rPr>
        <w:t>有助于</w:t>
      </w:r>
      <w:r>
        <w:rPr>
          <w:rFonts w:hint="eastAsia" w:ascii="宋体" w:hAnsi="宋体" w:cs="宋体"/>
          <w:bCs/>
          <w:sz w:val="22"/>
        </w:rPr>
        <w:t>提高项目实施</w:t>
      </w:r>
      <w:r>
        <w:rPr>
          <w:rFonts w:ascii="宋体" w:hAnsi="宋体" w:cs="宋体"/>
          <w:bCs/>
          <w:sz w:val="22"/>
        </w:rPr>
        <w:t>决策水平</w:t>
      </w:r>
      <w:r>
        <w:rPr>
          <w:rFonts w:hint="eastAsia" w:ascii="宋体" w:hAnsi="宋体" w:cs="宋体"/>
          <w:bCs/>
          <w:sz w:val="22"/>
        </w:rPr>
        <w:t>，并</w:t>
      </w:r>
      <w:r>
        <w:rPr>
          <w:rFonts w:ascii="宋体" w:hAnsi="宋体" w:cs="宋体"/>
          <w:bCs/>
          <w:sz w:val="22"/>
        </w:rPr>
        <w:t>为下一年</w:t>
      </w:r>
      <w:r>
        <w:rPr>
          <w:rFonts w:hint="eastAsia" w:ascii="宋体" w:hAnsi="宋体" w:cs="宋体"/>
          <w:bCs/>
          <w:sz w:val="22"/>
        </w:rPr>
        <w:t>计划</w:t>
      </w:r>
      <w:r>
        <w:rPr>
          <w:rFonts w:ascii="宋体" w:hAnsi="宋体" w:cs="宋体"/>
          <w:bCs/>
          <w:sz w:val="22"/>
        </w:rPr>
        <w:t>资金</w:t>
      </w:r>
      <w:r>
        <w:rPr>
          <w:rFonts w:hint="eastAsia" w:ascii="宋体" w:hAnsi="宋体" w:cs="宋体"/>
          <w:bCs/>
          <w:sz w:val="22"/>
        </w:rPr>
        <w:t>的科学分配及管控积累了经验，同时也</w:t>
      </w:r>
      <w:r>
        <w:rPr>
          <w:rFonts w:ascii="宋体" w:hAnsi="宋体" w:cs="宋体"/>
          <w:bCs/>
          <w:sz w:val="22"/>
        </w:rPr>
        <w:t>强化</w:t>
      </w:r>
      <w:r>
        <w:rPr>
          <w:rFonts w:hint="eastAsia" w:ascii="宋体" w:hAnsi="宋体" w:cs="宋体"/>
          <w:bCs/>
          <w:sz w:val="22"/>
        </w:rPr>
        <w:t>了</w:t>
      </w:r>
      <w:r>
        <w:rPr>
          <w:rFonts w:ascii="宋体" w:hAnsi="宋体" w:cs="宋体"/>
          <w:bCs/>
          <w:sz w:val="22"/>
        </w:rPr>
        <w:t>绩效评价结果在资金分配环节的应用，</w:t>
      </w:r>
      <w:r>
        <w:rPr>
          <w:rFonts w:hint="eastAsia" w:ascii="宋体" w:hAnsi="宋体" w:cs="宋体"/>
          <w:bCs/>
          <w:sz w:val="22"/>
        </w:rPr>
        <w:t>进而达到提高管理效率、资金使用效益和公共服务水平目标。从根本上有效促进部门从整体上提升预算绩效管理工作水平，强化各部门支出责任，规范资金管理行为，保障部门更好地履行职责。</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主要经验及做法</w:t>
      </w:r>
    </w:p>
    <w:p>
      <w:pPr>
        <w:spacing w:line="360" w:lineRule="auto"/>
        <w:ind w:firstLine="440" w:firstLineChars="200"/>
        <w:rPr>
          <w:rFonts w:ascii="宋体" w:hAnsi="宋体" w:cs="宋体"/>
          <w:bCs/>
          <w:sz w:val="22"/>
        </w:rPr>
      </w:pPr>
      <w:r>
        <w:rPr>
          <w:rFonts w:hint="eastAsia" w:ascii="宋体" w:hAnsi="宋体" w:cs="宋体"/>
          <w:bCs/>
          <w:sz w:val="22"/>
        </w:rPr>
        <w:t>湖北省知识产权局在2</w:t>
      </w:r>
      <w:r>
        <w:rPr>
          <w:rFonts w:ascii="宋体" w:hAnsi="宋体" w:cs="宋体"/>
          <w:bCs/>
          <w:sz w:val="22"/>
        </w:rPr>
        <w:t>021</w:t>
      </w:r>
      <w:r>
        <w:rPr>
          <w:rFonts w:hint="eastAsia" w:ascii="宋体" w:hAnsi="宋体" w:cs="宋体"/>
          <w:bCs/>
          <w:sz w:val="22"/>
        </w:rPr>
        <w:t>年度，统筹推进疫情防控和知识产权工作，成效显著。2</w:t>
      </w:r>
      <w:r>
        <w:rPr>
          <w:rFonts w:ascii="宋体" w:hAnsi="宋体" w:cs="宋体"/>
          <w:bCs/>
          <w:sz w:val="22"/>
        </w:rPr>
        <w:t>021</w:t>
      </w:r>
      <w:r>
        <w:rPr>
          <w:rFonts w:hint="eastAsia" w:ascii="宋体" w:hAnsi="宋体" w:cs="宋体"/>
          <w:bCs/>
          <w:sz w:val="22"/>
        </w:rPr>
        <w:t>年度，全省专利授权总量15.5万件,同比增长40.93%；万人发明专利拥有量16.09件/万人，同比增长29.65%；PCT专利申请1691件，同比增长12.43%。全省专利转让许可登记备案1.87万件，同比增长37.96%。全省商标注册量为</w:t>
      </w:r>
      <w:r>
        <w:rPr>
          <w:rFonts w:ascii="宋体" w:hAnsi="宋体" w:cs="宋体"/>
          <w:bCs/>
          <w:sz w:val="22"/>
        </w:rPr>
        <w:t>18.47</w:t>
      </w:r>
      <w:r>
        <w:rPr>
          <w:rFonts w:hint="eastAsia" w:ascii="宋体" w:hAnsi="宋体" w:cs="宋体"/>
          <w:bCs/>
          <w:sz w:val="22"/>
        </w:rPr>
        <w:t>万件，同比增长</w:t>
      </w:r>
      <w:r>
        <w:rPr>
          <w:rFonts w:ascii="宋体" w:hAnsi="宋体" w:cs="宋体"/>
          <w:bCs/>
          <w:sz w:val="22"/>
        </w:rPr>
        <w:t>26.02</w:t>
      </w:r>
      <w:r>
        <w:rPr>
          <w:rFonts w:hint="eastAsia" w:ascii="宋体" w:hAnsi="宋体" w:cs="宋体"/>
          <w:bCs/>
          <w:sz w:val="22"/>
        </w:rPr>
        <w:t>%，截至2</w:t>
      </w:r>
      <w:r>
        <w:rPr>
          <w:rFonts w:ascii="宋体" w:hAnsi="宋体" w:cs="宋体"/>
          <w:bCs/>
          <w:sz w:val="22"/>
        </w:rPr>
        <w:t>021</w:t>
      </w:r>
      <w:r>
        <w:rPr>
          <w:rFonts w:hint="eastAsia" w:ascii="宋体" w:hAnsi="宋体" w:cs="宋体"/>
          <w:bCs/>
          <w:sz w:val="22"/>
        </w:rPr>
        <w:t>年底，全省有效商标注册量过84万件，地理标志产品、商标拥有量位居全国前列。</w:t>
      </w:r>
    </w:p>
    <w:p>
      <w:pPr>
        <w:spacing w:line="360" w:lineRule="auto"/>
        <w:ind w:firstLine="440" w:firstLineChars="200"/>
        <w:rPr>
          <w:rFonts w:ascii="宋体" w:hAnsi="宋体" w:cs="宋体"/>
          <w:bCs/>
          <w:sz w:val="22"/>
        </w:rPr>
      </w:pPr>
      <w:r>
        <w:rPr>
          <w:rFonts w:hint="eastAsia" w:ascii="宋体" w:hAnsi="宋体" w:cs="宋体"/>
          <w:bCs/>
          <w:sz w:val="22"/>
        </w:rPr>
        <w:t>（一）明确发展定位，提高知识产权绩效目标站位</w:t>
      </w:r>
    </w:p>
    <w:p>
      <w:pPr>
        <w:spacing w:line="360" w:lineRule="auto"/>
        <w:ind w:firstLine="440" w:firstLineChars="200"/>
        <w:rPr>
          <w:rFonts w:ascii="宋体" w:hAnsi="宋体" w:cs="宋体"/>
          <w:bCs/>
          <w:sz w:val="22"/>
        </w:rPr>
      </w:pPr>
      <w:r>
        <w:rPr>
          <w:rFonts w:hint="eastAsia" w:ascii="宋体" w:hAnsi="宋体" w:cs="宋体"/>
          <w:bCs/>
          <w:sz w:val="22"/>
        </w:rPr>
        <w:t>省知识产权局制定《湖北省“十四五”知识产权规划》，明确“十四五”时期开展知识产权工作的指导思想、基本原则、主要目标、重点任务和实施保障措施，对未来五年的知识产权工作进行了全面部署，为未来各项工作开展明确目标、指明方向。2021年12月，省委、省政府首次将知识产权保护纳入对地方党委、政府重要工作绩效目标。</w:t>
      </w:r>
    </w:p>
    <w:p>
      <w:pPr>
        <w:spacing w:line="360" w:lineRule="auto"/>
        <w:ind w:firstLine="440" w:firstLineChars="200"/>
        <w:rPr>
          <w:rFonts w:ascii="宋体" w:hAnsi="宋体" w:cs="宋体"/>
          <w:bCs/>
          <w:sz w:val="22"/>
        </w:rPr>
      </w:pPr>
      <w:r>
        <w:rPr>
          <w:rFonts w:hint="eastAsia" w:ascii="宋体" w:hAnsi="宋体" w:cs="宋体"/>
          <w:bCs/>
          <w:sz w:val="22"/>
        </w:rPr>
        <w:t>（二）开展多项精彩活动，营造鼓励创新和保护知识产权的良好社会氛围</w:t>
      </w:r>
    </w:p>
    <w:p>
      <w:pPr>
        <w:spacing w:line="360" w:lineRule="auto"/>
        <w:ind w:firstLine="440" w:firstLineChars="200"/>
        <w:rPr>
          <w:rFonts w:ascii="宋体" w:hAnsi="宋体" w:cs="宋体"/>
          <w:bCs/>
          <w:sz w:val="22"/>
        </w:rPr>
      </w:pPr>
      <w:r>
        <w:rPr>
          <w:rFonts w:hint="eastAsia" w:ascii="宋体" w:hAnsi="宋体" w:cs="宋体"/>
          <w:bCs/>
          <w:sz w:val="22"/>
        </w:rPr>
        <w:t>省知识产权局开展举办第一届“我喜爱的湖北品牌”电视大赛、第三届湖北地理标志大会暨品牌培育创新大赛、4·26知识产权宣传周、首届湖北专利奖等公开活动，活动方式多样，充分发挥广播、电视、报纸的影响力和覆盖面，提高全社会知识产权保护意识，宣传效果显著。</w:t>
      </w:r>
    </w:p>
    <w:p>
      <w:pPr>
        <w:spacing w:line="360" w:lineRule="auto"/>
        <w:ind w:firstLine="440" w:firstLineChars="200"/>
        <w:rPr>
          <w:rFonts w:ascii="宋体" w:hAnsi="宋体" w:cs="宋体"/>
          <w:bCs/>
          <w:sz w:val="22"/>
        </w:rPr>
      </w:pPr>
      <w:r>
        <w:rPr>
          <w:rFonts w:hint="eastAsia" w:ascii="宋体" w:hAnsi="宋体" w:cs="宋体"/>
          <w:bCs/>
          <w:sz w:val="22"/>
        </w:rPr>
        <w:t>2021年6月，湖北省作为中部地区唯一省份，成为全国8个首批实施专利转化专项计划省份之一，获得中央财政资金1亿元，并按照《湖北省促进专利转化助力中小企业创新发展专项计划实施方案》有序推进专利转化应用，为</w:t>
      </w:r>
      <w:r>
        <w:rPr>
          <w:rFonts w:hint="eastAsia" w:asciiTheme="minorEastAsia" w:hAnsiTheme="minorEastAsia" w:eastAsiaTheme="minorEastAsia"/>
          <w:sz w:val="22"/>
        </w:rPr>
        <w:t>湖北快速实现疫后经济重振提供助力。</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其他需要说明的情况</w:t>
      </w:r>
    </w:p>
    <w:bookmarkEnd w:id="0"/>
    <w:p>
      <w:pPr>
        <w:spacing w:line="360" w:lineRule="auto"/>
        <w:ind w:left="425"/>
        <w:rPr>
          <w:rFonts w:ascii="宋体" w:hAnsi="宋体" w:cs="宋体"/>
          <w:bCs/>
          <w:sz w:val="22"/>
        </w:rPr>
      </w:pPr>
      <w:r>
        <w:rPr>
          <w:rFonts w:hint="eastAsia" w:ascii="宋体" w:hAnsi="宋体" w:cs="宋体"/>
          <w:bCs/>
          <w:sz w:val="22"/>
        </w:rPr>
        <w:t>无</w:t>
      </w: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r>
        <w:rPr>
          <w:rFonts w:hint="eastAsia" w:ascii="宋体" w:hAnsi="宋体" w:cs="宋体"/>
          <w:bCs/>
          <w:sz w:val="22"/>
        </w:rPr>
        <w:t>附件一：2</w:t>
      </w:r>
      <w:r>
        <w:rPr>
          <w:rFonts w:ascii="宋体" w:hAnsi="宋体" w:cs="宋体"/>
          <w:bCs/>
          <w:sz w:val="22"/>
        </w:rPr>
        <w:t>021</w:t>
      </w:r>
      <w:r>
        <w:rPr>
          <w:rFonts w:hint="eastAsia" w:ascii="宋体" w:hAnsi="宋体" w:cs="宋体"/>
          <w:bCs/>
          <w:sz w:val="22"/>
        </w:rPr>
        <w:t>年度部门整体支出绩效目标申报表</w:t>
      </w:r>
    </w:p>
    <w:p>
      <w:pPr>
        <w:spacing w:line="360" w:lineRule="auto"/>
        <w:ind w:firstLine="440" w:firstLineChars="200"/>
        <w:rPr>
          <w:rFonts w:ascii="宋体" w:hAnsi="宋体" w:cs="宋体"/>
          <w:bCs/>
          <w:sz w:val="22"/>
        </w:rPr>
      </w:pPr>
      <w:r>
        <w:rPr>
          <w:rFonts w:hint="eastAsia" w:ascii="宋体" w:hAnsi="宋体" w:cs="宋体"/>
          <w:bCs/>
          <w:sz w:val="22"/>
        </w:rPr>
        <w:t>附件二：2</w:t>
      </w:r>
      <w:r>
        <w:rPr>
          <w:rFonts w:ascii="宋体" w:hAnsi="宋体" w:cs="宋体"/>
          <w:bCs/>
          <w:sz w:val="22"/>
        </w:rPr>
        <w:t>021</w:t>
      </w:r>
      <w:r>
        <w:rPr>
          <w:rFonts w:hint="eastAsia" w:ascii="宋体" w:hAnsi="宋体" w:cs="宋体"/>
          <w:bCs/>
          <w:sz w:val="22"/>
        </w:rPr>
        <w:t>年度部门整体支出绩效评价指标体系及评分表</w:t>
      </w:r>
    </w:p>
    <w:p>
      <w:pPr>
        <w:spacing w:line="360" w:lineRule="auto"/>
        <w:rPr>
          <w:rFonts w:ascii="宋体" w:hAnsi="宋体" w:cs="宋体"/>
          <w:bCs/>
          <w:sz w:val="22"/>
        </w:rPr>
      </w:pPr>
    </w:p>
    <w:p>
      <w:pPr>
        <w:spacing w:line="360" w:lineRule="auto"/>
        <w:rPr>
          <w:rFonts w:ascii="宋体" w:hAnsi="宋体" w:cs="宋体"/>
          <w:bCs/>
          <w:sz w:val="22"/>
        </w:rPr>
      </w:pPr>
    </w:p>
    <w:p>
      <w:pPr>
        <w:spacing w:line="360" w:lineRule="auto"/>
        <w:rPr>
          <w:rFonts w:ascii="宋体" w:hAnsi="宋体" w:cs="宋体"/>
          <w:bCs/>
          <w:sz w:val="22"/>
        </w:rPr>
      </w:pPr>
    </w:p>
    <w:p>
      <w:pPr>
        <w:spacing w:line="360" w:lineRule="auto"/>
        <w:rPr>
          <w:rFonts w:ascii="宋体" w:hAnsi="宋体" w:cs="宋体"/>
          <w:bCs/>
          <w:sz w:val="22"/>
        </w:rPr>
      </w:pPr>
    </w:p>
    <w:tbl>
      <w:tblPr>
        <w:tblStyle w:val="15"/>
        <w:tblW w:w="0" w:type="auto"/>
        <w:jc w:val="right"/>
        <w:tblLayout w:type="fixed"/>
        <w:tblCellMar>
          <w:top w:w="0" w:type="dxa"/>
          <w:left w:w="108" w:type="dxa"/>
          <w:bottom w:w="0" w:type="dxa"/>
          <w:right w:w="108" w:type="dxa"/>
        </w:tblCellMar>
      </w:tblPr>
      <w:tblGrid>
        <w:gridCol w:w="4150"/>
      </w:tblGrid>
      <w:tr>
        <w:tblPrEx>
          <w:tblCellMar>
            <w:top w:w="0" w:type="dxa"/>
            <w:left w:w="108" w:type="dxa"/>
            <w:bottom w:w="0" w:type="dxa"/>
            <w:right w:w="108" w:type="dxa"/>
          </w:tblCellMar>
        </w:tblPrEx>
        <w:trPr>
          <w:trHeight w:val="733" w:hRule="atLeast"/>
          <w:jc w:val="right"/>
        </w:trPr>
        <w:tc>
          <w:tcPr>
            <w:tcW w:w="4150" w:type="dxa"/>
          </w:tcPr>
          <w:p>
            <w:pPr>
              <w:spacing w:line="360" w:lineRule="exact"/>
              <w:rPr>
                <w:rFonts w:asciiTheme="minorEastAsia" w:hAnsiTheme="minorEastAsia" w:eastAsiaTheme="minorEastAsia"/>
                <w:sz w:val="22"/>
              </w:rPr>
            </w:pPr>
            <w:r>
              <w:rPr>
                <w:rFonts w:hint="eastAsia" w:asciiTheme="minorEastAsia" w:hAnsiTheme="minorEastAsia" w:eastAsiaTheme="minorEastAsia"/>
                <w:sz w:val="22"/>
              </w:rPr>
              <w:t>信永中和会计师事务所（特殊普通合伙）</w:t>
            </w:r>
          </w:p>
          <w:p>
            <w:pPr>
              <w:spacing w:line="360" w:lineRule="exact"/>
              <w:jc w:val="center"/>
              <w:rPr>
                <w:rFonts w:asciiTheme="minorEastAsia" w:hAnsiTheme="minorEastAsia" w:eastAsiaTheme="minorEastAsia"/>
                <w:sz w:val="22"/>
              </w:rPr>
            </w:pPr>
            <w:r>
              <w:rPr>
                <w:rFonts w:asciiTheme="minorEastAsia" w:hAnsiTheme="minorEastAsia" w:eastAsiaTheme="minorEastAsia"/>
                <w:sz w:val="22"/>
              </w:rPr>
              <w:t>武汉分所</w:t>
            </w: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p>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中国</w:t>
            </w:r>
            <w:r>
              <w:rPr>
                <w:rFonts w:asciiTheme="minorEastAsia" w:hAnsiTheme="minorEastAsia" w:eastAsiaTheme="minorEastAsia"/>
                <w:sz w:val="22"/>
              </w:rPr>
              <w:tab/>
            </w:r>
            <w:r>
              <w:rPr>
                <w:rFonts w:hint="eastAsia" w:asciiTheme="minorEastAsia" w:hAnsiTheme="minorEastAsia" w:eastAsiaTheme="minorEastAsia"/>
                <w:sz w:val="22"/>
              </w:rPr>
              <w:t>武汉</w:t>
            </w:r>
          </w:p>
          <w:p>
            <w:pPr>
              <w:spacing w:line="360" w:lineRule="exact"/>
              <w:jc w:val="center"/>
              <w:rPr>
                <w:rFonts w:asciiTheme="minorEastAsia" w:hAnsiTheme="minorEastAsia" w:eastAsiaTheme="minorEastAsia"/>
                <w:sz w:val="22"/>
              </w:rPr>
            </w:pP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二○二二年四月二十六日</w:t>
            </w:r>
          </w:p>
        </w:tc>
      </w:tr>
    </w:tbl>
    <w:p>
      <w:pPr>
        <w:spacing w:line="360" w:lineRule="auto"/>
        <w:rPr>
          <w:rFonts w:ascii="宋体" w:hAnsi="宋体" w:cs="宋体"/>
          <w:bCs/>
          <w:sz w:val="22"/>
        </w:rPr>
      </w:pPr>
    </w:p>
    <w:p>
      <w:pPr>
        <w:jc w:val="center"/>
        <w:rPr>
          <w:rFonts w:asciiTheme="minorEastAsia" w:hAnsiTheme="minorEastAsia" w:eastAsiaTheme="minorEastAsia"/>
          <w:spacing w:val="20"/>
          <w:sz w:val="24"/>
          <w:szCs w:val="28"/>
        </w:rPr>
      </w:pPr>
    </w:p>
    <w:sectPr>
      <w:footerReference r:id="rId11" w:type="first"/>
      <w:headerReference r:id="rId10"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魏碑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259628"/>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29</w:t>
    </w:r>
    <w:r>
      <w:fldChar w:fldCharType="end"/>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OnDwRgCAAAWBAAADgAAAGRy&#10;cy9lMm9Eb2MueG1srVPLjtMwFN0j8Q+W9zRphxmGqumozKgIqWJGKoi16zhNJL9ku03KB8AfsJoN&#10;e76r38Gxm3QQsEJs7Gvf97nnzm46JcleON8YXdDxKKdEaG7KRm8L+vHD8sU1JT4wXTJptCjoQXh6&#10;M3/+bNbaqZiY2shSOIIg2k9bW9A6BDvNMs9roZgfGSs0lJVxigU83TYrHWsRXclskudXWWtcaZ3h&#10;wnv83p2UdJ7iV5Xg4b6qvAhEFhS1hXS6dG7imc1nbLp1zNYN78tg/1CFYo1G0nOoOxYY2bnmj1Cq&#10;4c54U4URNyozVdVwkXpAN+P8t27WNbMi9QJwvD3D5P9fWP5+/+BIUxZ0QolmCiM6fvt6fPxx/P6F&#10;TCI8rfVTWK0t7EL3xnQFDW4nBpXHf2y8q5yKN1oiMAHWhzO+oguE4/Py+uUECg7N+OL1qzzBnz35&#10;WufDW2EUiUJBHaaXQGX7lQ8oBaaDSUylzbKRMk1QatIW9OriMk8OZw08pIZjbOJUaZRCt+n6zjam&#10;PKAxZ07M8JYvGyRfMR8emAMVUC/oHe5xVNIgieklSmrjPv/tP9pjQtBS0oJaBdXgPiXyncbkIgsH&#10;wQ3CZhD0Tt0acHWMtbE8iXBwQQ5i5Yz6BM4vYo6KSY/ATHNkw1wG8Tbg1SuxO1wsFuc3eGdZWOm1&#10;5f0kI5beLnYBeCaYI0YnYHroQL6Efr8okd2/vpPV0zr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vbGRr0QAAAAIBAAAPAAAAAAAAAAEAIAAAADgAAABkcnMvZG93bnJldi54bWxQSwECFAAUAAAA&#10;CACHTuJA2OnDwRgCAAAWBAAADgAAAAAAAAABACAAAAA2AQAAZHJzL2Uyb0RvYy54bWxQSwUGAAAA&#10;AAYABgBZAQAAw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rPr>
        <w:rFonts w:hint="eastAsia"/>
      </w:rPr>
      <w:t xml:space="preserve"> </w:t>
    </w:r>
    <w:r>
      <w:t xml:space="preserve"> </w:t>
    </w:r>
  </w:p>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719" w:type="dxa"/>
      <w:tblInd w:w="-600" w:type="dxa"/>
      <w:tblBorders>
        <w:top w:val="none" w:color="auto" w:sz="0"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70"/>
      <w:gridCol w:w="2698"/>
      <w:gridCol w:w="2126"/>
      <w:gridCol w:w="776"/>
      <w:gridCol w:w="1549"/>
    </w:tblGrid>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restart"/>
          <w:tcBorders>
            <w:left w:val="single" w:color="auto" w:sz="18" w:space="0"/>
            <w:right w:val="single" w:color="auto" w:sz="18" w:space="0"/>
          </w:tcBorders>
          <w:noWrap/>
          <w:tcFitText/>
          <w:vAlign w:val="center"/>
        </w:tcPr>
        <w:p>
          <w:pPr>
            <w:pStyle w:val="6"/>
            <w:spacing w:after="0"/>
            <w:jc w:val="center"/>
            <w:rPr>
              <w:b/>
              <w:sz w:val="48"/>
              <w:lang w:val="en-US"/>
            </w:rPr>
          </w:pPr>
          <w:r>
            <w:rPr>
              <w:rFonts w:hint="eastAsia"/>
              <w:b/>
              <w:sz w:val="48"/>
              <w:lang w:val="en-US"/>
            </w:rPr>
            <w:drawing>
              <wp:inline distT="0" distB="0" distL="114300" distR="114300">
                <wp:extent cx="1514475" cy="912495"/>
                <wp:effectExtent l="0" t="0" r="9525" b="1905"/>
                <wp:docPr id="16" name="图片 2" descr="untitle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2" descr="untitled1"/>
                        <pic:cNvPicPr>
                          <a:picLocks noChangeAspect="true"/>
                        </pic:cNvPicPr>
                      </pic:nvPicPr>
                      <pic:blipFill>
                        <a:blip r:embed="rId1">
                          <a:clrChange>
                            <a:clrFrom>
                              <a:srgbClr val="FFFFFF"/>
                            </a:clrFrom>
                            <a:clrTo>
                              <a:srgbClr val="FFFFFF">
                                <a:alpha val="0"/>
                              </a:srgbClr>
                            </a:clrTo>
                          </a:clrChange>
                        </a:blip>
                        <a:stretch>
                          <a:fillRect/>
                        </a:stretch>
                      </pic:blipFill>
                      <pic:spPr>
                        <a:xfrm>
                          <a:off x="0" y="0"/>
                          <a:ext cx="1514475" cy="912495"/>
                        </a:xfrm>
                        <a:prstGeom prst="rect">
                          <a:avLst/>
                        </a:prstGeom>
                        <a:noFill/>
                        <a:ln>
                          <a:noFill/>
                        </a:ln>
                      </pic:spPr>
                    </pic:pic>
                  </a:graphicData>
                </a:graphic>
              </wp:inline>
            </w:drawing>
          </w:r>
        </w:p>
      </w:tc>
      <w:tc>
        <w:tcPr>
          <w:tcW w:w="2698" w:type="dxa"/>
          <w:tcBorders>
            <w:left w:val="single" w:color="auto" w:sz="18" w:space="0"/>
            <w:bottom w:val="nil"/>
            <w:right w:val="single" w:color="003366" w:sz="4" w:space="0"/>
          </w:tcBorders>
          <w:tcMar>
            <w:left w:w="28" w:type="dxa"/>
          </w:tcMar>
        </w:tcPr>
        <w:p>
          <w:pPr>
            <w:pStyle w:val="6"/>
            <w:spacing w:after="0"/>
            <w:jc w:val="both"/>
            <w:rPr>
              <w:rFonts w:eastAsia="黑体"/>
              <w:sz w:val="48"/>
              <w:szCs w:val="48"/>
              <w:lang w:val="en-US"/>
            </w:rPr>
          </w:pPr>
          <w:r>
            <w:rPr>
              <w:rFonts w:eastAsia="黑体"/>
              <w:sz w:val="48"/>
              <w:szCs w:val="48"/>
              <w:lang w:val="en-US"/>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line">
                      <wp:posOffset>11430</wp:posOffset>
                    </wp:positionV>
                    <wp:extent cx="1558925" cy="35179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558925" cy="351790"/>
                            </a:xfrm>
                            <a:prstGeom prst="rect">
                              <a:avLst/>
                            </a:prstGeom>
                            <a:noFill/>
                            <a:ln>
                              <a:noFill/>
                            </a:ln>
                          </wps:spPr>
                          <wps:txbx>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wps:txbx>
                          <wps:bodyPr lIns="0" tIns="0" rIns="0" bIns="0" upright="true"/>
                        </wps:wsp>
                      </a:graphicData>
                    </a:graphic>
                  </wp:anchor>
                </w:drawing>
              </mc:Choice>
              <mc:Fallback>
                <w:pict>
                  <v:shape id="_x0000_s1026" o:spid="_x0000_s1026" o:spt="202" type="#_x0000_t202" style="position:absolute;left:0pt;margin-left:2.65pt;margin-top:0.9pt;height:27.7pt;width:122.75pt;mso-position-vertical-relative:line;z-index:251665408;mso-width-relative:page;mso-height-relative:page;" filled="f" stroked="f" coordsize="21600,21600" o:gfxdata="UEsFBgAAAAAAAAAAAAAAAAAAAAAAAFBLAwQKAAAAAACHTuJAAAAAAAAAAAAAAAAABAAAAGRycy9Q&#10;SwMEFAAAAAgAh07iQH8+lynTAAAABgEAAA8AAABkcnMvZG93bnJldi54bWxNjstOwzAQRfdI/IM1&#10;SOyo3aAWmsapEIIVEiINC5ZOPE2sxuMQuw/+nmFFd3MfunOKzdkP4ohTdIE0zGcKBFIbrKNOw2f9&#10;evcIIiZD1gyBUMMPRtiU11eFyW04UYXHbeoEj1DMjYY+pTGXMrY9ehNnYUTibBcmbxLLqZN2Mice&#10;94PMlFpKbxzxh96M+Nxju98evIanL6pe3Pd781HtKlfXK0Vvy73WtzdztQaR8Jz+y/CHz+hQMlMT&#10;DmSjGDQs7rnINvNzmi0UHw3bDxnIspCX+OUvUEsDBBQAAAAIAIdO4kCRH+PCowEAACwDAAAOAAAA&#10;ZHJzL2Uyb0RvYy54bWytUkuOEzEQ3SNxB8t74iQoMNNKZyQ0GoSEAGngAI7bTluyXVbZSXcuADdg&#10;xYY958o5KHvSGT47xMZdrqp+9V49r29G79hBY7IQWr6YzTnTQUFnw67lnz7ePbviLGUZOukg6JYf&#10;deI3m6dP1kNs9BJ6cJ1GRiAhNUNseZ9zbIRIqtdephlEHahoAL3MdMWd6FAOhO6dWM7nL8QA2EUE&#10;pVOi7O1DkW8qvjFa5ffGJJ2Zazlxy/XEem7LKTZr2exQxt6qMw35Dyy8tIGGXqBuZZZsj/YvKG8V&#10;QgKTZwq8AGOs0lUDqVnM/1Bz38uoqxZaToqXNaX/B6veHT4gsx15t+IsSE8enb5+OX37cfr+mVGO&#10;FjTE1FDffaTOPL6CseUZ93oqJcoX6aNBX74kilELbft42bAeM1OUXKxWV9dLmqSo9ny1eHldLRCP&#10;f0dM+bUGz0rQciQH62Ll4W3KRIZap5YyLMCdda666MJvCWosGVHYP1AsUR6341nSFrojKXJvAu2z&#10;vI0pwCnYTsE+ot31RGfSXVHJksrn/HyK57/e6+zHR77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8+lynTAAAABgEAAA8AAAAAAAAAAQAgAAAAOAAAAGRycy9kb3ducmV2LnhtbFBLAQIUABQAAAAI&#10;AIdO4kCRH+PCowEAACwDAAAOAAAAAAAAAAEAIAAAADgBAABkcnMvZTJvRG9jLnhtbFBLBQYAAAAA&#10;BgAGAFkBAABNBQAAAAA=&#10;">
                    <v:fill on="f" focussize="0,0"/>
                    <v:stroke on="f"/>
                    <v:imagedata o:title=""/>
                    <o:lock v:ext="edit" aspectratio="f"/>
                    <v:textbox inset="0mm,0mm,0mm,0mm">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v:textbox>
                  </v:shape>
                </w:pict>
              </mc:Fallback>
            </mc:AlternateContent>
          </w:r>
        </w:p>
      </w:tc>
      <w:tc>
        <w:tcPr>
          <w:tcW w:w="2126" w:type="dxa"/>
          <w:tcBorders>
            <w:left w:val="single" w:color="003366" w:sz="4" w:space="0"/>
            <w:right w:val="single" w:color="auto" w:sz="4" w:space="0"/>
          </w:tcBorders>
          <w:tcMar>
            <w:left w:w="85" w:type="dxa"/>
          </w:tcMar>
        </w:tcPr>
        <w:p>
          <w:pPr>
            <w:pStyle w:val="6"/>
            <w:spacing w:after="0"/>
            <w:ind w:right="42" w:rightChars="20"/>
            <w:jc w:val="both"/>
            <w:rPr>
              <w:rFonts w:ascii="宋体" w:hAnsi="宋体"/>
              <w:b/>
              <w:spacing w:val="20"/>
              <w:sz w:val="18"/>
              <w:szCs w:val="18"/>
              <w:lang w:val="en-US"/>
            </w:rPr>
          </w:pPr>
          <w:r>
            <w:rPr>
              <w:rFonts w:hint="eastAsia" w:ascii="宋体" w:hAnsi="宋体"/>
              <w:spacing w:val="20"/>
              <w:sz w:val="18"/>
              <w:szCs w:val="18"/>
              <w:lang w:val="en-US"/>
            </w:rPr>
            <w:t>湖北省武汉市洪山区徐东大街137号能源大厦20楼</w:t>
          </w:r>
        </w:p>
      </w:tc>
      <w:tc>
        <w:tcPr>
          <w:tcW w:w="776" w:type="dxa"/>
          <w:tcBorders>
            <w:left w:val="single" w:color="auto" w:sz="4" w:space="0"/>
          </w:tcBorders>
          <w:tcMar>
            <w:left w:w="28" w:type="dxa"/>
          </w:tcMar>
        </w:tcPr>
        <w:p>
          <w:pPr>
            <w:pStyle w:val="6"/>
            <w:spacing w:after="0" w:line="190" w:lineRule="exact"/>
            <w:rPr>
              <w:rFonts w:ascii="Arial" w:hAnsi="Arial"/>
              <w:sz w:val="15"/>
              <w:lang w:val="en-US"/>
            </w:rPr>
          </w:pPr>
          <w:r>
            <w:rPr>
              <w:rFonts w:hint="eastAsia" w:ascii="Arial" w:hAnsi="Arial"/>
              <w:sz w:val="15"/>
              <w:lang w:val="en-US"/>
            </w:rPr>
            <w:t>联系电话</w:t>
          </w:r>
          <w:r>
            <w:rPr>
              <w:rFonts w:ascii="Arial" w:hAnsi="Arial"/>
              <w:sz w:val="15"/>
              <w:lang w:val="en-US"/>
            </w:rPr>
            <w:t>:</w:t>
          </w:r>
        </w:p>
        <w:p>
          <w:pPr>
            <w:pStyle w:val="6"/>
            <w:spacing w:after="0" w:line="190" w:lineRule="exact"/>
            <w:rPr>
              <w:rFonts w:ascii="Arial" w:hAnsi="Arial"/>
              <w:sz w:val="15"/>
              <w:lang w:val="en-US"/>
            </w:rPr>
          </w:pPr>
          <w:r>
            <w:rPr>
              <w:rFonts w:hint="eastAsia" w:ascii="Arial" w:hAnsi="Arial"/>
              <w:sz w:val="15"/>
              <w:lang w:val="en-US"/>
            </w:rPr>
            <w:t>telephone:</w:t>
          </w:r>
        </w:p>
      </w:tc>
      <w:tc>
        <w:tcPr>
          <w:tcW w:w="1549" w:type="dxa"/>
          <w:tcBorders>
            <w:right w:val="nil"/>
          </w:tcBorders>
          <w:tcMar>
            <w:left w:w="28" w:type="dxa"/>
          </w:tcMar>
        </w:tcPr>
        <w:p>
          <w:pPr>
            <w:pStyle w:val="6"/>
            <w:spacing w:after="0" w:line="190" w:lineRule="exact"/>
            <w:jc w:val="both"/>
            <w:rPr>
              <w:rFonts w:ascii="Arial" w:hAnsi="Arial"/>
              <w:sz w:val="15"/>
              <w:lang w:val="en-US"/>
            </w:rPr>
          </w:pPr>
          <w:r>
            <w:rPr>
              <w:rFonts w:hint="eastAsia" w:ascii="Arial" w:hAnsi="Arial"/>
              <w:sz w:val="15"/>
              <w:lang w:val="en-US"/>
            </w:rPr>
            <w:t>+86(027)59759900</w:t>
          </w:r>
        </w:p>
        <w:p>
          <w:pPr>
            <w:pStyle w:val="6"/>
            <w:spacing w:before="4" w:beforeLines="2" w:after="0" w:line="190" w:lineRule="exact"/>
            <w:jc w:val="both"/>
            <w:rPr>
              <w:rFonts w:ascii="Arial" w:hAnsi="Arial"/>
              <w:sz w:val="15"/>
              <w:lang w:val="en-US"/>
            </w:rPr>
          </w:pPr>
          <w:r>
            <w:rPr>
              <w:rFonts w:hint="eastAsia" w:ascii="Arial" w:hAnsi="Arial"/>
              <w:sz w:val="15"/>
              <w:lang w:val="en-US"/>
            </w:rPr>
            <w:t>+86(027)59759900</w:t>
          </w: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right w:val="single" w:color="auto" w:sz="4" w:space="0"/>
          </w:tcBorders>
          <w:tcMar>
            <w:left w:w="28" w:type="dxa"/>
          </w:tcMar>
          <w:vAlign w:val="bottom"/>
        </w:tcPr>
        <w:p>
          <w:pPr>
            <w:pStyle w:val="6"/>
            <w:spacing w:after="0"/>
            <w:jc w:val="both"/>
            <w:rPr>
              <w:rFonts w:ascii="华文新魏" w:eastAsia="华文新魏"/>
              <w:spacing w:val="-46"/>
              <w:sz w:val="10"/>
              <w:szCs w:val="10"/>
              <w:lang w:val="en-US"/>
            </w:rPr>
          </w:pPr>
        </w:p>
      </w:tc>
      <w:tc>
        <w:tcPr>
          <w:tcW w:w="2126" w:type="dxa"/>
          <w:tcBorders>
            <w:left w:val="single" w:color="auto" w:sz="4" w:space="0"/>
            <w:right w:val="single" w:color="auto" w:sz="4" w:space="0"/>
          </w:tcBorders>
          <w:tcMar>
            <w:left w:w="85" w:type="dxa"/>
          </w:tcMar>
          <w:vAlign w:val="bottom"/>
        </w:tcPr>
        <w:p>
          <w:pPr>
            <w:pStyle w:val="6"/>
            <w:spacing w:after="0"/>
            <w:jc w:val="both"/>
            <w:rPr>
              <w:b/>
              <w:sz w:val="10"/>
              <w:szCs w:val="10"/>
              <w:lang w:val="en-US"/>
            </w:rPr>
          </w:pPr>
        </w:p>
      </w:tc>
      <w:tc>
        <w:tcPr>
          <w:tcW w:w="776" w:type="dxa"/>
          <w:tcBorders>
            <w:left w:val="single" w:color="auto" w:sz="4" w:space="0"/>
          </w:tcBorders>
          <w:tcMar>
            <w:left w:w="28" w:type="dxa"/>
          </w:tcMar>
          <w:vAlign w:val="bottom"/>
        </w:tcPr>
        <w:p>
          <w:pPr>
            <w:pStyle w:val="6"/>
            <w:spacing w:after="0"/>
            <w:jc w:val="both"/>
            <w:rPr>
              <w:rFonts w:ascii="Arial" w:hAnsi="Arial"/>
              <w:sz w:val="10"/>
              <w:szCs w:val="10"/>
              <w:lang w:val="en-US"/>
            </w:rPr>
          </w:pPr>
        </w:p>
      </w:tc>
      <w:tc>
        <w:tcPr>
          <w:tcW w:w="1549" w:type="dxa"/>
          <w:tcBorders>
            <w:right w:val="nil"/>
          </w:tcBorders>
          <w:vAlign w:val="bottom"/>
        </w:tcPr>
        <w:p>
          <w:pPr>
            <w:pStyle w:val="6"/>
            <w:spacing w:after="0"/>
            <w:jc w:val="both"/>
            <w:rPr>
              <w:rFonts w:ascii="Arial" w:hAnsi="Arial"/>
              <w:sz w:val="10"/>
              <w:szCs w:val="10"/>
              <w:lang w:val="en-US"/>
            </w:rPr>
          </w:pP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bottom w:val="nil"/>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bottom w:val="nil"/>
            <w:right w:val="single" w:color="auto" w:sz="4" w:space="0"/>
          </w:tcBorders>
          <w:tcMar>
            <w:left w:w="28" w:type="dxa"/>
          </w:tcMar>
          <w:vAlign w:val="bottom"/>
        </w:tcPr>
        <w:p>
          <w:pPr>
            <w:pStyle w:val="6"/>
            <w:spacing w:after="0" w:line="320" w:lineRule="exact"/>
            <w:ind w:left="84" w:leftChars="40"/>
            <w:jc w:val="both"/>
            <w:rPr>
              <w:b/>
              <w:iCs/>
              <w:sz w:val="26"/>
              <w:szCs w:val="26"/>
              <w:lang w:val="en-US"/>
            </w:rPr>
          </w:pPr>
          <w:r>
            <w:rPr>
              <w:b/>
              <w:iCs/>
              <w:sz w:val="26"/>
              <w:szCs w:val="26"/>
              <w:lang w:val="en-US"/>
            </w:rPr>
            <w:t>Shin</w:t>
          </w:r>
          <w:r>
            <w:rPr>
              <w:b/>
              <w:iCs/>
              <w:spacing w:val="-20"/>
              <w:sz w:val="26"/>
              <w:szCs w:val="26"/>
              <w:lang w:val="en-US"/>
            </w:rPr>
            <w:t>eW</w:t>
          </w:r>
          <w:r>
            <w:rPr>
              <w:b/>
              <w:iCs/>
              <w:sz w:val="26"/>
              <w:szCs w:val="26"/>
              <w:lang w:val="en-US"/>
            </w:rPr>
            <w:t>ing</w:t>
          </w:r>
        </w:p>
        <w:p>
          <w:pPr>
            <w:pStyle w:val="6"/>
            <w:spacing w:after="0" w:line="240" w:lineRule="exact"/>
            <w:ind w:left="84" w:leftChars="40"/>
            <w:jc w:val="both"/>
            <w:rPr>
              <w:rFonts w:ascii="Arial" w:hAnsi="Arial" w:cs="Arial"/>
              <w:b/>
              <w:color w:val="003366"/>
              <w:sz w:val="18"/>
              <w:szCs w:val="18"/>
              <w:lang w:val="en-US"/>
            </w:rPr>
          </w:pPr>
          <w:r>
            <w:rPr>
              <w:rFonts w:ascii="Arial" w:hAnsi="Arial" w:cs="Arial"/>
              <w:b/>
              <w:sz w:val="18"/>
              <w:szCs w:val="18"/>
              <w:lang w:val="en-US"/>
            </w:rPr>
            <w:t xml:space="preserve">Certified public accountants </w:t>
          </w:r>
          <w:r>
            <w:rPr>
              <w:rFonts w:hint="eastAsia" w:ascii="Arial" w:hAnsi="Arial" w:cs="Arial"/>
              <w:b/>
              <w:sz w:val="18"/>
              <w:szCs w:val="18"/>
              <w:lang w:val="en-US"/>
            </w:rPr>
            <w:t>Wuhan</w:t>
          </w:r>
          <w:r>
            <w:rPr>
              <w:rFonts w:ascii="Arial" w:hAnsi="Arial" w:cs="Arial"/>
              <w:b/>
              <w:sz w:val="18"/>
              <w:szCs w:val="18"/>
              <w:lang w:val="en-US"/>
            </w:rPr>
            <w:t xml:space="preserve"> </w:t>
          </w:r>
          <w:r>
            <w:rPr>
              <w:rFonts w:hint="eastAsia" w:ascii="Arial" w:hAnsi="Arial" w:cs="Arial"/>
              <w:b/>
              <w:sz w:val="18"/>
              <w:szCs w:val="18"/>
              <w:lang w:val="en-US"/>
            </w:rPr>
            <w:t>Branch</w:t>
          </w:r>
        </w:p>
      </w:tc>
      <w:tc>
        <w:tcPr>
          <w:tcW w:w="2126" w:type="dxa"/>
          <w:tcBorders>
            <w:left w:val="single" w:color="auto" w:sz="4" w:space="0"/>
            <w:right w:val="single" w:color="auto" w:sz="4" w:space="0"/>
          </w:tcBorders>
          <w:tcMar>
            <w:left w:w="85" w:type="dxa"/>
          </w:tcMar>
          <w:vAlign w:val="bottom"/>
        </w:tcPr>
        <w:p>
          <w:pPr>
            <w:pStyle w:val="6"/>
            <w:spacing w:after="0"/>
            <w:ind w:right="42" w:rightChars="20"/>
            <w:rPr>
              <w:rFonts w:ascii="Arial" w:hAnsi="Arial" w:cs="Arial"/>
              <w:sz w:val="15"/>
              <w:szCs w:val="15"/>
              <w:lang w:val="en-US"/>
            </w:rPr>
          </w:pPr>
          <w:r>
            <w:rPr>
              <w:rFonts w:hint="eastAsia" w:ascii="Arial" w:hAnsi="Arial" w:eastAsia="楷体_GB2312" w:cs="Arial"/>
              <w:sz w:val="15"/>
              <w:szCs w:val="15"/>
            </w:rPr>
            <w:t>20</w:t>
          </w:r>
          <w:r>
            <w:rPr>
              <w:rFonts w:ascii="Arial" w:hAnsi="Arial" w:eastAsia="楷体_GB2312" w:cs="Arial"/>
              <w:sz w:val="15"/>
              <w:szCs w:val="15"/>
            </w:rPr>
            <w:t>/F,</w:t>
          </w:r>
          <w:r>
            <w:rPr>
              <w:rFonts w:hint="eastAsia" w:ascii="Arial" w:hAnsi="Arial" w:eastAsia="楷体_GB2312" w:cs="Arial"/>
              <w:sz w:val="15"/>
              <w:szCs w:val="15"/>
            </w:rPr>
            <w:t>Nengyuan</w:t>
          </w:r>
          <w:r>
            <w:rPr>
              <w:rFonts w:ascii="Arial" w:hAnsi="Arial" w:eastAsia="楷体_GB2312" w:cs="Arial"/>
              <w:sz w:val="15"/>
              <w:szCs w:val="15"/>
            </w:rPr>
            <w:t>Building,NO.</w:t>
          </w:r>
          <w:r>
            <w:rPr>
              <w:rFonts w:hint="eastAsia" w:ascii="Arial" w:hAnsi="Arial" w:eastAsia="楷体_GB2312" w:cs="Arial"/>
              <w:sz w:val="15"/>
              <w:szCs w:val="15"/>
            </w:rPr>
            <w:t>137Xudongstreet</w:t>
          </w:r>
          <w:r>
            <w:rPr>
              <w:rFonts w:ascii="Arial" w:hAnsi="Arial" w:eastAsia="楷体_GB2312" w:cs="Arial"/>
              <w:sz w:val="15"/>
              <w:szCs w:val="15"/>
            </w:rPr>
            <w:t>,</w:t>
          </w:r>
          <w:r>
            <w:rPr>
              <w:rFonts w:hint="eastAsia" w:ascii="Arial" w:hAnsi="Arial" w:eastAsia="楷体_GB2312" w:cs="Arial"/>
              <w:sz w:val="15"/>
              <w:szCs w:val="15"/>
            </w:rPr>
            <w:t>Hongshan</w:t>
          </w:r>
          <w:r>
            <w:rPr>
              <w:rFonts w:ascii="Arial" w:hAnsi="Arial" w:eastAsia="楷体_GB2312" w:cs="Arial"/>
              <w:sz w:val="15"/>
              <w:szCs w:val="15"/>
            </w:rPr>
            <w:t>District,Wuhan,</w:t>
          </w:r>
          <w:r>
            <w:rPr>
              <w:rFonts w:hint="eastAsia" w:ascii="Arial" w:hAnsi="Arial" w:eastAsia="楷体_GB2312" w:cs="Arial"/>
              <w:sz w:val="15"/>
              <w:szCs w:val="15"/>
            </w:rPr>
            <w:t>HubeiProvince430077</w:t>
          </w:r>
          <w:r>
            <w:rPr>
              <w:rFonts w:ascii="Arial" w:hAnsi="Arial" w:eastAsia="楷体_GB2312" w:cs="Arial"/>
              <w:sz w:val="15"/>
              <w:szCs w:val="15"/>
            </w:rPr>
            <w:t>P</w:t>
          </w:r>
          <w:r>
            <w:rPr>
              <w:rFonts w:hint="eastAsia" w:ascii="Arial" w:hAnsi="Arial" w:eastAsia="楷体_GB2312" w:cs="Arial"/>
              <w:sz w:val="15"/>
              <w:szCs w:val="15"/>
            </w:rPr>
            <w:t>.</w:t>
          </w:r>
          <w:r>
            <w:rPr>
              <w:rFonts w:ascii="Arial" w:hAnsi="Arial" w:eastAsia="楷体_GB2312" w:cs="Arial"/>
              <w:sz w:val="15"/>
              <w:szCs w:val="15"/>
            </w:rPr>
            <w:t>R</w:t>
          </w:r>
          <w:r>
            <w:rPr>
              <w:rFonts w:hint="eastAsia" w:ascii="Arial" w:hAnsi="Arial" w:eastAsia="楷体_GB2312" w:cs="Arial"/>
              <w:sz w:val="15"/>
              <w:szCs w:val="15"/>
            </w:rPr>
            <w:t>.</w:t>
          </w:r>
          <w:r>
            <w:rPr>
              <w:rFonts w:ascii="Arial" w:hAnsi="Arial" w:eastAsia="楷体_GB2312" w:cs="Arial"/>
              <w:sz w:val="15"/>
              <w:szCs w:val="15"/>
            </w:rPr>
            <w:t>C</w:t>
          </w:r>
          <w:r>
            <w:rPr>
              <w:rFonts w:hint="eastAsia" w:ascii="Arial" w:hAnsi="Arial" w:eastAsia="楷体_GB2312" w:cs="Arial"/>
              <w:sz w:val="15"/>
              <w:szCs w:val="15"/>
            </w:rPr>
            <w:t>hina</w:t>
          </w:r>
        </w:p>
      </w:tc>
      <w:tc>
        <w:tcPr>
          <w:tcW w:w="776" w:type="dxa"/>
          <w:tcBorders>
            <w:left w:val="single" w:color="auto" w:sz="4" w:space="0"/>
          </w:tcBorders>
          <w:tcMar>
            <w:left w:w="28" w:type="dxa"/>
          </w:tcMar>
          <w:vAlign w:val="bottom"/>
        </w:tcPr>
        <w:p>
          <w:pPr>
            <w:pStyle w:val="6"/>
            <w:spacing w:after="0"/>
            <w:jc w:val="both"/>
            <w:rPr>
              <w:rFonts w:ascii="Arial" w:hAnsi="Arial"/>
              <w:sz w:val="15"/>
              <w:lang w:val="en-US"/>
            </w:rPr>
          </w:pPr>
        </w:p>
        <w:p>
          <w:pPr>
            <w:pStyle w:val="6"/>
            <w:spacing w:after="0" w:line="190" w:lineRule="exact"/>
            <w:jc w:val="both"/>
            <w:rPr>
              <w:rFonts w:ascii="Arial" w:hAnsi="Arial"/>
              <w:sz w:val="15"/>
              <w:lang w:val="en-US"/>
            </w:rPr>
          </w:pPr>
          <w:r>
            <w:rPr>
              <w:rFonts w:hint="eastAsia" w:ascii="Arial" w:hAnsi="Arial"/>
              <w:sz w:val="15"/>
              <w:lang w:val="en-US"/>
            </w:rPr>
            <w:t>传真:</w:t>
          </w:r>
        </w:p>
        <w:p>
          <w:pPr>
            <w:pStyle w:val="6"/>
            <w:spacing w:after="0" w:line="190" w:lineRule="exact"/>
            <w:ind w:left="1" w:leftChars="-13" w:hanging="28" w:hangingChars="19"/>
            <w:jc w:val="both"/>
            <w:rPr>
              <w:rFonts w:ascii="Arial" w:hAnsi="Arial"/>
              <w:sz w:val="15"/>
              <w:lang w:val="en-US"/>
            </w:rPr>
          </w:pPr>
          <w:r>
            <w:rPr>
              <w:rFonts w:ascii="Arial" w:hAnsi="Arial"/>
              <w:sz w:val="15"/>
              <w:lang w:val="en-US"/>
            </w:rPr>
            <w:t>facsimile:</w:t>
          </w:r>
        </w:p>
      </w:tc>
      <w:tc>
        <w:tcPr>
          <w:tcW w:w="1549" w:type="dxa"/>
          <w:tcBorders>
            <w:right w:val="nil"/>
          </w:tcBorders>
          <w:tcMar>
            <w:left w:w="28" w:type="dxa"/>
          </w:tcMar>
          <w:vAlign w:val="bottom"/>
        </w:tcPr>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tc>
    </w:tr>
  </w:tbl>
  <w:p>
    <w:pPr>
      <w:pStyle w:val="12"/>
      <w:pBdr>
        <w:bottom w:val="none" w:color="auto" w:sz="0" w:space="0"/>
      </w:pBdr>
    </w:pPr>
    <w:r>
      <w:rPr>
        <w:rFonts w:hint="eastAsia"/>
      </w:rPr>
      <w:t xml:space="preserve"> </w:t>
    </w:r>
    <w:r>
      <w:t xml:space="preserve"> </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D639E"/>
    <w:multiLevelType w:val="singleLevel"/>
    <w:tmpl w:val="E56D639E"/>
    <w:lvl w:ilvl="0" w:tentative="0">
      <w:start w:val="1"/>
      <w:numFmt w:val="chineseCounting"/>
      <w:suff w:val="space"/>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34C40"/>
    <w:rsid w:val="00000C65"/>
    <w:rsid w:val="000029AA"/>
    <w:rsid w:val="0000440A"/>
    <w:rsid w:val="00004D83"/>
    <w:rsid w:val="00006AA8"/>
    <w:rsid w:val="00015049"/>
    <w:rsid w:val="00015532"/>
    <w:rsid w:val="00015EB4"/>
    <w:rsid w:val="000175BE"/>
    <w:rsid w:val="00020475"/>
    <w:rsid w:val="000205AC"/>
    <w:rsid w:val="000336F2"/>
    <w:rsid w:val="00035173"/>
    <w:rsid w:val="000357AB"/>
    <w:rsid w:val="00037C8F"/>
    <w:rsid w:val="000407EA"/>
    <w:rsid w:val="000409A1"/>
    <w:rsid w:val="00041F0E"/>
    <w:rsid w:val="0004225B"/>
    <w:rsid w:val="000446C6"/>
    <w:rsid w:val="00044943"/>
    <w:rsid w:val="00046B0A"/>
    <w:rsid w:val="00047540"/>
    <w:rsid w:val="000514E3"/>
    <w:rsid w:val="000517F9"/>
    <w:rsid w:val="000518DC"/>
    <w:rsid w:val="00051E73"/>
    <w:rsid w:val="00052158"/>
    <w:rsid w:val="00053A2A"/>
    <w:rsid w:val="00057974"/>
    <w:rsid w:val="00057AE4"/>
    <w:rsid w:val="0006036E"/>
    <w:rsid w:val="0006401D"/>
    <w:rsid w:val="000642CA"/>
    <w:rsid w:val="00064A35"/>
    <w:rsid w:val="000659E0"/>
    <w:rsid w:val="0006617F"/>
    <w:rsid w:val="00066273"/>
    <w:rsid w:val="000666E9"/>
    <w:rsid w:val="00067210"/>
    <w:rsid w:val="000674BE"/>
    <w:rsid w:val="0008035B"/>
    <w:rsid w:val="000803BE"/>
    <w:rsid w:val="00080886"/>
    <w:rsid w:val="0008385E"/>
    <w:rsid w:val="0008400A"/>
    <w:rsid w:val="00091207"/>
    <w:rsid w:val="00091BD7"/>
    <w:rsid w:val="0009336A"/>
    <w:rsid w:val="00094F7A"/>
    <w:rsid w:val="000A11F7"/>
    <w:rsid w:val="000A2390"/>
    <w:rsid w:val="000A309A"/>
    <w:rsid w:val="000A30F7"/>
    <w:rsid w:val="000A3436"/>
    <w:rsid w:val="000A3FD2"/>
    <w:rsid w:val="000A4C6F"/>
    <w:rsid w:val="000B0493"/>
    <w:rsid w:val="000B1795"/>
    <w:rsid w:val="000B1BCA"/>
    <w:rsid w:val="000B20EB"/>
    <w:rsid w:val="000B37C0"/>
    <w:rsid w:val="000B747A"/>
    <w:rsid w:val="000B7E23"/>
    <w:rsid w:val="000C0773"/>
    <w:rsid w:val="000C0868"/>
    <w:rsid w:val="000C424E"/>
    <w:rsid w:val="000C52CE"/>
    <w:rsid w:val="000C58A4"/>
    <w:rsid w:val="000C626F"/>
    <w:rsid w:val="000C6CE7"/>
    <w:rsid w:val="000D2D45"/>
    <w:rsid w:val="000D4455"/>
    <w:rsid w:val="000D571C"/>
    <w:rsid w:val="000D680F"/>
    <w:rsid w:val="000D6BDB"/>
    <w:rsid w:val="000E0BB7"/>
    <w:rsid w:val="000E283B"/>
    <w:rsid w:val="000E3319"/>
    <w:rsid w:val="000E4740"/>
    <w:rsid w:val="000E66E2"/>
    <w:rsid w:val="000E6B4A"/>
    <w:rsid w:val="000F0561"/>
    <w:rsid w:val="000F1633"/>
    <w:rsid w:val="000F2B0A"/>
    <w:rsid w:val="000F3943"/>
    <w:rsid w:val="000F49DA"/>
    <w:rsid w:val="000F5132"/>
    <w:rsid w:val="000F5BFF"/>
    <w:rsid w:val="000F741F"/>
    <w:rsid w:val="000F7E52"/>
    <w:rsid w:val="001009BA"/>
    <w:rsid w:val="00101ED6"/>
    <w:rsid w:val="001023AF"/>
    <w:rsid w:val="00102690"/>
    <w:rsid w:val="00102786"/>
    <w:rsid w:val="00102A62"/>
    <w:rsid w:val="001048D1"/>
    <w:rsid w:val="001054AD"/>
    <w:rsid w:val="001059EA"/>
    <w:rsid w:val="00110150"/>
    <w:rsid w:val="0011122D"/>
    <w:rsid w:val="001122B7"/>
    <w:rsid w:val="00112F06"/>
    <w:rsid w:val="001140E8"/>
    <w:rsid w:val="0012593B"/>
    <w:rsid w:val="0013010B"/>
    <w:rsid w:val="00131B7B"/>
    <w:rsid w:val="001325DA"/>
    <w:rsid w:val="00133EEF"/>
    <w:rsid w:val="00134E8E"/>
    <w:rsid w:val="00135248"/>
    <w:rsid w:val="00137031"/>
    <w:rsid w:val="0013777D"/>
    <w:rsid w:val="001411E6"/>
    <w:rsid w:val="00141A89"/>
    <w:rsid w:val="001478CB"/>
    <w:rsid w:val="00150E6F"/>
    <w:rsid w:val="00151BC9"/>
    <w:rsid w:val="00152115"/>
    <w:rsid w:val="0015378C"/>
    <w:rsid w:val="0015741A"/>
    <w:rsid w:val="00161A19"/>
    <w:rsid w:val="00162A7D"/>
    <w:rsid w:val="00164AF8"/>
    <w:rsid w:val="00164C8A"/>
    <w:rsid w:val="00165F57"/>
    <w:rsid w:val="001675F0"/>
    <w:rsid w:val="00174629"/>
    <w:rsid w:val="00175391"/>
    <w:rsid w:val="001759EB"/>
    <w:rsid w:val="00182AC1"/>
    <w:rsid w:val="00182DCD"/>
    <w:rsid w:val="00183B41"/>
    <w:rsid w:val="00185742"/>
    <w:rsid w:val="00185E6D"/>
    <w:rsid w:val="00186528"/>
    <w:rsid w:val="0019029E"/>
    <w:rsid w:val="00190535"/>
    <w:rsid w:val="00191969"/>
    <w:rsid w:val="00193461"/>
    <w:rsid w:val="00193ACC"/>
    <w:rsid w:val="00194D8D"/>
    <w:rsid w:val="00194EF1"/>
    <w:rsid w:val="001955D0"/>
    <w:rsid w:val="0019741C"/>
    <w:rsid w:val="00197626"/>
    <w:rsid w:val="001976CC"/>
    <w:rsid w:val="001A0482"/>
    <w:rsid w:val="001A0BED"/>
    <w:rsid w:val="001A144D"/>
    <w:rsid w:val="001A5B8B"/>
    <w:rsid w:val="001A5E96"/>
    <w:rsid w:val="001A5FDC"/>
    <w:rsid w:val="001A770E"/>
    <w:rsid w:val="001A7AC8"/>
    <w:rsid w:val="001B1D9B"/>
    <w:rsid w:val="001B2770"/>
    <w:rsid w:val="001B2AEC"/>
    <w:rsid w:val="001B7137"/>
    <w:rsid w:val="001B722D"/>
    <w:rsid w:val="001C0E45"/>
    <w:rsid w:val="001C3238"/>
    <w:rsid w:val="001C4461"/>
    <w:rsid w:val="001C467F"/>
    <w:rsid w:val="001C4887"/>
    <w:rsid w:val="001C6AB1"/>
    <w:rsid w:val="001D0C83"/>
    <w:rsid w:val="001D169B"/>
    <w:rsid w:val="001D183F"/>
    <w:rsid w:val="001D21C3"/>
    <w:rsid w:val="001D2F94"/>
    <w:rsid w:val="001D4D07"/>
    <w:rsid w:val="001E0179"/>
    <w:rsid w:val="001E0ACD"/>
    <w:rsid w:val="001E3789"/>
    <w:rsid w:val="001E4DAA"/>
    <w:rsid w:val="001E61DC"/>
    <w:rsid w:val="001E6F4F"/>
    <w:rsid w:val="001F3805"/>
    <w:rsid w:val="001F4239"/>
    <w:rsid w:val="001F4984"/>
    <w:rsid w:val="002007E9"/>
    <w:rsid w:val="00204A65"/>
    <w:rsid w:val="002053BC"/>
    <w:rsid w:val="002057B7"/>
    <w:rsid w:val="00205C6A"/>
    <w:rsid w:val="00210686"/>
    <w:rsid w:val="002106CF"/>
    <w:rsid w:val="002124AE"/>
    <w:rsid w:val="002129B9"/>
    <w:rsid w:val="0021348F"/>
    <w:rsid w:val="0022272A"/>
    <w:rsid w:val="0022506B"/>
    <w:rsid w:val="00225BAF"/>
    <w:rsid w:val="00227B2F"/>
    <w:rsid w:val="00230718"/>
    <w:rsid w:val="00232416"/>
    <w:rsid w:val="002335DF"/>
    <w:rsid w:val="0023658E"/>
    <w:rsid w:val="00236F45"/>
    <w:rsid w:val="0023792E"/>
    <w:rsid w:val="00240FD6"/>
    <w:rsid w:val="0024414E"/>
    <w:rsid w:val="00245007"/>
    <w:rsid w:val="0025037A"/>
    <w:rsid w:val="002510A6"/>
    <w:rsid w:val="0025192F"/>
    <w:rsid w:val="00252C78"/>
    <w:rsid w:val="0025369F"/>
    <w:rsid w:val="0025480B"/>
    <w:rsid w:val="002570DE"/>
    <w:rsid w:val="00260F61"/>
    <w:rsid w:val="0026219C"/>
    <w:rsid w:val="002627E1"/>
    <w:rsid w:val="00262DAB"/>
    <w:rsid w:val="00262E73"/>
    <w:rsid w:val="00262FEA"/>
    <w:rsid w:val="0026322B"/>
    <w:rsid w:val="00272D3E"/>
    <w:rsid w:val="00274781"/>
    <w:rsid w:val="002754D7"/>
    <w:rsid w:val="00276BEA"/>
    <w:rsid w:val="00277295"/>
    <w:rsid w:val="00282D00"/>
    <w:rsid w:val="002838C2"/>
    <w:rsid w:val="00283D68"/>
    <w:rsid w:val="002849A8"/>
    <w:rsid w:val="00285C04"/>
    <w:rsid w:val="0028607E"/>
    <w:rsid w:val="00291EE3"/>
    <w:rsid w:val="002948B6"/>
    <w:rsid w:val="00295701"/>
    <w:rsid w:val="0029619D"/>
    <w:rsid w:val="0029626F"/>
    <w:rsid w:val="00297A76"/>
    <w:rsid w:val="002A1137"/>
    <w:rsid w:val="002A20B1"/>
    <w:rsid w:val="002A2D96"/>
    <w:rsid w:val="002A5781"/>
    <w:rsid w:val="002A59FA"/>
    <w:rsid w:val="002A6A44"/>
    <w:rsid w:val="002A6AED"/>
    <w:rsid w:val="002A6F23"/>
    <w:rsid w:val="002A7793"/>
    <w:rsid w:val="002A7FD3"/>
    <w:rsid w:val="002B1FF2"/>
    <w:rsid w:val="002B3B2E"/>
    <w:rsid w:val="002B4899"/>
    <w:rsid w:val="002B5DB5"/>
    <w:rsid w:val="002B6D68"/>
    <w:rsid w:val="002C19C8"/>
    <w:rsid w:val="002C2035"/>
    <w:rsid w:val="002C5611"/>
    <w:rsid w:val="002C606B"/>
    <w:rsid w:val="002D037A"/>
    <w:rsid w:val="002D0B70"/>
    <w:rsid w:val="002D2347"/>
    <w:rsid w:val="002D520C"/>
    <w:rsid w:val="002D60EA"/>
    <w:rsid w:val="002D79C9"/>
    <w:rsid w:val="002E4011"/>
    <w:rsid w:val="002E4C6D"/>
    <w:rsid w:val="002E5034"/>
    <w:rsid w:val="002E5471"/>
    <w:rsid w:val="002E7085"/>
    <w:rsid w:val="002E7C2B"/>
    <w:rsid w:val="002F0FD0"/>
    <w:rsid w:val="002F1423"/>
    <w:rsid w:val="002F4892"/>
    <w:rsid w:val="00300D0B"/>
    <w:rsid w:val="00300E9D"/>
    <w:rsid w:val="0030253C"/>
    <w:rsid w:val="00303C11"/>
    <w:rsid w:val="003046D5"/>
    <w:rsid w:val="00306ECB"/>
    <w:rsid w:val="00314015"/>
    <w:rsid w:val="003146DE"/>
    <w:rsid w:val="003207D2"/>
    <w:rsid w:val="00321435"/>
    <w:rsid w:val="0032239C"/>
    <w:rsid w:val="0033144C"/>
    <w:rsid w:val="00332584"/>
    <w:rsid w:val="0033429C"/>
    <w:rsid w:val="00335312"/>
    <w:rsid w:val="0033667E"/>
    <w:rsid w:val="0033680E"/>
    <w:rsid w:val="003370B4"/>
    <w:rsid w:val="003401B5"/>
    <w:rsid w:val="00342606"/>
    <w:rsid w:val="00344A5E"/>
    <w:rsid w:val="0034738C"/>
    <w:rsid w:val="00350C5C"/>
    <w:rsid w:val="0035130C"/>
    <w:rsid w:val="00351E8D"/>
    <w:rsid w:val="00354800"/>
    <w:rsid w:val="00356CDD"/>
    <w:rsid w:val="00356F22"/>
    <w:rsid w:val="00360128"/>
    <w:rsid w:val="0036088A"/>
    <w:rsid w:val="00360A16"/>
    <w:rsid w:val="00360FE8"/>
    <w:rsid w:val="00361D61"/>
    <w:rsid w:val="00365786"/>
    <w:rsid w:val="00367697"/>
    <w:rsid w:val="00375030"/>
    <w:rsid w:val="0037504E"/>
    <w:rsid w:val="00375F4E"/>
    <w:rsid w:val="00377589"/>
    <w:rsid w:val="00380C1A"/>
    <w:rsid w:val="003811A9"/>
    <w:rsid w:val="003811C6"/>
    <w:rsid w:val="00381F49"/>
    <w:rsid w:val="003820FA"/>
    <w:rsid w:val="00383DE8"/>
    <w:rsid w:val="003844DD"/>
    <w:rsid w:val="00384A04"/>
    <w:rsid w:val="0038720D"/>
    <w:rsid w:val="00387894"/>
    <w:rsid w:val="0039022C"/>
    <w:rsid w:val="00390CC6"/>
    <w:rsid w:val="003914D5"/>
    <w:rsid w:val="00392BA4"/>
    <w:rsid w:val="00393544"/>
    <w:rsid w:val="0039477E"/>
    <w:rsid w:val="00394D79"/>
    <w:rsid w:val="00396BFE"/>
    <w:rsid w:val="00397B7B"/>
    <w:rsid w:val="003A0E06"/>
    <w:rsid w:val="003A1D5B"/>
    <w:rsid w:val="003A2EE0"/>
    <w:rsid w:val="003A3152"/>
    <w:rsid w:val="003A3E32"/>
    <w:rsid w:val="003A4026"/>
    <w:rsid w:val="003A4E21"/>
    <w:rsid w:val="003A5EA0"/>
    <w:rsid w:val="003A7138"/>
    <w:rsid w:val="003B3095"/>
    <w:rsid w:val="003B3BA8"/>
    <w:rsid w:val="003B3C90"/>
    <w:rsid w:val="003B4A8C"/>
    <w:rsid w:val="003B606B"/>
    <w:rsid w:val="003B6589"/>
    <w:rsid w:val="003B7576"/>
    <w:rsid w:val="003B7A21"/>
    <w:rsid w:val="003C3A58"/>
    <w:rsid w:val="003C4095"/>
    <w:rsid w:val="003C5308"/>
    <w:rsid w:val="003C5DAA"/>
    <w:rsid w:val="003C7E29"/>
    <w:rsid w:val="003D2AC9"/>
    <w:rsid w:val="003D5C90"/>
    <w:rsid w:val="003D5CD8"/>
    <w:rsid w:val="003D6A30"/>
    <w:rsid w:val="003D72B7"/>
    <w:rsid w:val="003E1362"/>
    <w:rsid w:val="003E13DC"/>
    <w:rsid w:val="003E14C2"/>
    <w:rsid w:val="003E277C"/>
    <w:rsid w:val="003E2A0E"/>
    <w:rsid w:val="003E2BFA"/>
    <w:rsid w:val="003E2F76"/>
    <w:rsid w:val="003E5B36"/>
    <w:rsid w:val="003F06F2"/>
    <w:rsid w:val="003F08F4"/>
    <w:rsid w:val="003F1FDD"/>
    <w:rsid w:val="003F2C53"/>
    <w:rsid w:val="0040182C"/>
    <w:rsid w:val="00401CA2"/>
    <w:rsid w:val="00401EFA"/>
    <w:rsid w:val="004023C7"/>
    <w:rsid w:val="004027AE"/>
    <w:rsid w:val="00403D33"/>
    <w:rsid w:val="00405695"/>
    <w:rsid w:val="00405BC2"/>
    <w:rsid w:val="00406068"/>
    <w:rsid w:val="004068FD"/>
    <w:rsid w:val="00407139"/>
    <w:rsid w:val="00410E05"/>
    <w:rsid w:val="00411476"/>
    <w:rsid w:val="004122C7"/>
    <w:rsid w:val="00412CD2"/>
    <w:rsid w:val="0041597B"/>
    <w:rsid w:val="004159C9"/>
    <w:rsid w:val="004204F3"/>
    <w:rsid w:val="0042197B"/>
    <w:rsid w:val="00421DC3"/>
    <w:rsid w:val="00422204"/>
    <w:rsid w:val="00426C77"/>
    <w:rsid w:val="00431D42"/>
    <w:rsid w:val="00432AE1"/>
    <w:rsid w:val="00432CEE"/>
    <w:rsid w:val="0043351F"/>
    <w:rsid w:val="00433B7C"/>
    <w:rsid w:val="00434A6A"/>
    <w:rsid w:val="004363C1"/>
    <w:rsid w:val="004376EB"/>
    <w:rsid w:val="00437ADA"/>
    <w:rsid w:val="00440297"/>
    <w:rsid w:val="00443887"/>
    <w:rsid w:val="00445A0F"/>
    <w:rsid w:val="00446FB2"/>
    <w:rsid w:val="004500A7"/>
    <w:rsid w:val="004518F5"/>
    <w:rsid w:val="00455A1E"/>
    <w:rsid w:val="00462AB8"/>
    <w:rsid w:val="00464D4C"/>
    <w:rsid w:val="00466123"/>
    <w:rsid w:val="00466279"/>
    <w:rsid w:val="0047243B"/>
    <w:rsid w:val="00472963"/>
    <w:rsid w:val="0047338F"/>
    <w:rsid w:val="00473E7D"/>
    <w:rsid w:val="00477337"/>
    <w:rsid w:val="0048585D"/>
    <w:rsid w:val="0048702B"/>
    <w:rsid w:val="004904ED"/>
    <w:rsid w:val="00492089"/>
    <w:rsid w:val="00492441"/>
    <w:rsid w:val="00492A46"/>
    <w:rsid w:val="00494453"/>
    <w:rsid w:val="0049736D"/>
    <w:rsid w:val="00497BEF"/>
    <w:rsid w:val="004A0696"/>
    <w:rsid w:val="004A43CE"/>
    <w:rsid w:val="004A4578"/>
    <w:rsid w:val="004A468A"/>
    <w:rsid w:val="004A4A9A"/>
    <w:rsid w:val="004A6638"/>
    <w:rsid w:val="004A683C"/>
    <w:rsid w:val="004B0819"/>
    <w:rsid w:val="004B1492"/>
    <w:rsid w:val="004B2170"/>
    <w:rsid w:val="004B4021"/>
    <w:rsid w:val="004B5747"/>
    <w:rsid w:val="004B78EB"/>
    <w:rsid w:val="004C4DA8"/>
    <w:rsid w:val="004C55E5"/>
    <w:rsid w:val="004C7170"/>
    <w:rsid w:val="004D0C13"/>
    <w:rsid w:val="004D0EB1"/>
    <w:rsid w:val="004D23A9"/>
    <w:rsid w:val="004D2839"/>
    <w:rsid w:val="004D2911"/>
    <w:rsid w:val="004D2971"/>
    <w:rsid w:val="004D3381"/>
    <w:rsid w:val="004D35EE"/>
    <w:rsid w:val="004D3C0C"/>
    <w:rsid w:val="004D469F"/>
    <w:rsid w:val="004D561E"/>
    <w:rsid w:val="004E29C8"/>
    <w:rsid w:val="004E436C"/>
    <w:rsid w:val="004E4893"/>
    <w:rsid w:val="004E62AE"/>
    <w:rsid w:val="004E6444"/>
    <w:rsid w:val="004E68D8"/>
    <w:rsid w:val="004E72E0"/>
    <w:rsid w:val="004F0D1C"/>
    <w:rsid w:val="004F138B"/>
    <w:rsid w:val="004F3215"/>
    <w:rsid w:val="004F46DC"/>
    <w:rsid w:val="004F5928"/>
    <w:rsid w:val="004F6C31"/>
    <w:rsid w:val="00500304"/>
    <w:rsid w:val="005017D6"/>
    <w:rsid w:val="00504B58"/>
    <w:rsid w:val="00504E24"/>
    <w:rsid w:val="00504E26"/>
    <w:rsid w:val="0050562F"/>
    <w:rsid w:val="00506BAB"/>
    <w:rsid w:val="005073A7"/>
    <w:rsid w:val="0051050B"/>
    <w:rsid w:val="0051234C"/>
    <w:rsid w:val="005127D1"/>
    <w:rsid w:val="00514A61"/>
    <w:rsid w:val="005153F4"/>
    <w:rsid w:val="005205BD"/>
    <w:rsid w:val="00520C2F"/>
    <w:rsid w:val="005244D7"/>
    <w:rsid w:val="00525783"/>
    <w:rsid w:val="00525E4B"/>
    <w:rsid w:val="00532657"/>
    <w:rsid w:val="005328BB"/>
    <w:rsid w:val="005332B8"/>
    <w:rsid w:val="00534927"/>
    <w:rsid w:val="00537DC9"/>
    <w:rsid w:val="00540EC3"/>
    <w:rsid w:val="00542F4C"/>
    <w:rsid w:val="00544ADD"/>
    <w:rsid w:val="005570DA"/>
    <w:rsid w:val="005579C5"/>
    <w:rsid w:val="00557BA8"/>
    <w:rsid w:val="00560FFE"/>
    <w:rsid w:val="00563425"/>
    <w:rsid w:val="005648E8"/>
    <w:rsid w:val="005675A3"/>
    <w:rsid w:val="0057069E"/>
    <w:rsid w:val="00571F27"/>
    <w:rsid w:val="00572272"/>
    <w:rsid w:val="00573014"/>
    <w:rsid w:val="005740F7"/>
    <w:rsid w:val="0057469B"/>
    <w:rsid w:val="00576DD5"/>
    <w:rsid w:val="005806CC"/>
    <w:rsid w:val="00582758"/>
    <w:rsid w:val="0058568A"/>
    <w:rsid w:val="00586171"/>
    <w:rsid w:val="005873EE"/>
    <w:rsid w:val="00587BC4"/>
    <w:rsid w:val="00591387"/>
    <w:rsid w:val="00592486"/>
    <w:rsid w:val="00593298"/>
    <w:rsid w:val="00593BFA"/>
    <w:rsid w:val="0059511B"/>
    <w:rsid w:val="0059546B"/>
    <w:rsid w:val="005974EF"/>
    <w:rsid w:val="005975EE"/>
    <w:rsid w:val="005976D2"/>
    <w:rsid w:val="005A0E42"/>
    <w:rsid w:val="005A210D"/>
    <w:rsid w:val="005A477A"/>
    <w:rsid w:val="005A4EC7"/>
    <w:rsid w:val="005A5125"/>
    <w:rsid w:val="005A5FBC"/>
    <w:rsid w:val="005A6C27"/>
    <w:rsid w:val="005B4DDD"/>
    <w:rsid w:val="005B7DAD"/>
    <w:rsid w:val="005C12C3"/>
    <w:rsid w:val="005C3292"/>
    <w:rsid w:val="005C382F"/>
    <w:rsid w:val="005C5FC6"/>
    <w:rsid w:val="005D4DE9"/>
    <w:rsid w:val="005E1DDE"/>
    <w:rsid w:val="005E2C27"/>
    <w:rsid w:val="005E47A3"/>
    <w:rsid w:val="005E584D"/>
    <w:rsid w:val="005F0894"/>
    <w:rsid w:val="005F28B9"/>
    <w:rsid w:val="005F4230"/>
    <w:rsid w:val="00600B10"/>
    <w:rsid w:val="00600B9F"/>
    <w:rsid w:val="006014E1"/>
    <w:rsid w:val="00601544"/>
    <w:rsid w:val="00601C0E"/>
    <w:rsid w:val="00601E7E"/>
    <w:rsid w:val="00603E02"/>
    <w:rsid w:val="00603E96"/>
    <w:rsid w:val="00604488"/>
    <w:rsid w:val="00605A6F"/>
    <w:rsid w:val="00611A9B"/>
    <w:rsid w:val="006134A6"/>
    <w:rsid w:val="00621F33"/>
    <w:rsid w:val="0062438F"/>
    <w:rsid w:val="006254C7"/>
    <w:rsid w:val="00626C2C"/>
    <w:rsid w:val="00626DAE"/>
    <w:rsid w:val="006300AE"/>
    <w:rsid w:val="00630829"/>
    <w:rsid w:val="00630A26"/>
    <w:rsid w:val="00631112"/>
    <w:rsid w:val="0063467F"/>
    <w:rsid w:val="00634AE9"/>
    <w:rsid w:val="00634F3F"/>
    <w:rsid w:val="00635510"/>
    <w:rsid w:val="0063795D"/>
    <w:rsid w:val="00637D98"/>
    <w:rsid w:val="00640505"/>
    <w:rsid w:val="00641932"/>
    <w:rsid w:val="00641EDA"/>
    <w:rsid w:val="00642A6B"/>
    <w:rsid w:val="00642B0B"/>
    <w:rsid w:val="00643DBA"/>
    <w:rsid w:val="006440E4"/>
    <w:rsid w:val="00644FD1"/>
    <w:rsid w:val="00646309"/>
    <w:rsid w:val="00647114"/>
    <w:rsid w:val="006514B6"/>
    <w:rsid w:val="00651783"/>
    <w:rsid w:val="00651BC5"/>
    <w:rsid w:val="006521C0"/>
    <w:rsid w:val="00652A99"/>
    <w:rsid w:val="00653CCB"/>
    <w:rsid w:val="0065420E"/>
    <w:rsid w:val="00654258"/>
    <w:rsid w:val="006547C7"/>
    <w:rsid w:val="00655770"/>
    <w:rsid w:val="0065626C"/>
    <w:rsid w:val="00657804"/>
    <w:rsid w:val="00660437"/>
    <w:rsid w:val="00660A61"/>
    <w:rsid w:val="0066255B"/>
    <w:rsid w:val="006644A3"/>
    <w:rsid w:val="00665BC4"/>
    <w:rsid w:val="00666EC8"/>
    <w:rsid w:val="00667916"/>
    <w:rsid w:val="00667EC1"/>
    <w:rsid w:val="00675767"/>
    <w:rsid w:val="00675879"/>
    <w:rsid w:val="00675C77"/>
    <w:rsid w:val="006763D8"/>
    <w:rsid w:val="006769B7"/>
    <w:rsid w:val="00682E4B"/>
    <w:rsid w:val="00684B86"/>
    <w:rsid w:val="00686E90"/>
    <w:rsid w:val="00693145"/>
    <w:rsid w:val="006941F4"/>
    <w:rsid w:val="006948FC"/>
    <w:rsid w:val="00696889"/>
    <w:rsid w:val="006A01AC"/>
    <w:rsid w:val="006A5966"/>
    <w:rsid w:val="006B3088"/>
    <w:rsid w:val="006B4A4C"/>
    <w:rsid w:val="006B4E7C"/>
    <w:rsid w:val="006B66E4"/>
    <w:rsid w:val="006C2865"/>
    <w:rsid w:val="006C2EAF"/>
    <w:rsid w:val="006C319F"/>
    <w:rsid w:val="006C3454"/>
    <w:rsid w:val="006C4E8A"/>
    <w:rsid w:val="006C5A61"/>
    <w:rsid w:val="006D0E8C"/>
    <w:rsid w:val="006D12D5"/>
    <w:rsid w:val="006D48CE"/>
    <w:rsid w:val="006D7453"/>
    <w:rsid w:val="006D7D21"/>
    <w:rsid w:val="006E40A4"/>
    <w:rsid w:val="006E5284"/>
    <w:rsid w:val="006E7BB4"/>
    <w:rsid w:val="006F0829"/>
    <w:rsid w:val="006F529D"/>
    <w:rsid w:val="006F627E"/>
    <w:rsid w:val="006F77E0"/>
    <w:rsid w:val="00701493"/>
    <w:rsid w:val="00702FC7"/>
    <w:rsid w:val="007034AF"/>
    <w:rsid w:val="00703A27"/>
    <w:rsid w:val="00703B7A"/>
    <w:rsid w:val="00705BB2"/>
    <w:rsid w:val="0070737A"/>
    <w:rsid w:val="00711B78"/>
    <w:rsid w:val="00712163"/>
    <w:rsid w:val="00714790"/>
    <w:rsid w:val="00715A07"/>
    <w:rsid w:val="007171C8"/>
    <w:rsid w:val="00717851"/>
    <w:rsid w:val="0072174C"/>
    <w:rsid w:val="00721AFE"/>
    <w:rsid w:val="007228BD"/>
    <w:rsid w:val="00725193"/>
    <w:rsid w:val="00725538"/>
    <w:rsid w:val="00725C5A"/>
    <w:rsid w:val="00731DCA"/>
    <w:rsid w:val="00732A18"/>
    <w:rsid w:val="00732F04"/>
    <w:rsid w:val="00734BA4"/>
    <w:rsid w:val="00736ABA"/>
    <w:rsid w:val="00740C2F"/>
    <w:rsid w:val="0074110E"/>
    <w:rsid w:val="007415F3"/>
    <w:rsid w:val="007438CD"/>
    <w:rsid w:val="00744590"/>
    <w:rsid w:val="007478FD"/>
    <w:rsid w:val="007518FD"/>
    <w:rsid w:val="00751D89"/>
    <w:rsid w:val="00753558"/>
    <w:rsid w:val="00755CC5"/>
    <w:rsid w:val="00756077"/>
    <w:rsid w:val="00760755"/>
    <w:rsid w:val="00760B4A"/>
    <w:rsid w:val="00760FC9"/>
    <w:rsid w:val="00761F4B"/>
    <w:rsid w:val="00762F42"/>
    <w:rsid w:val="00764358"/>
    <w:rsid w:val="00765F2A"/>
    <w:rsid w:val="007679A9"/>
    <w:rsid w:val="007679DF"/>
    <w:rsid w:val="00767BA6"/>
    <w:rsid w:val="007709AC"/>
    <w:rsid w:val="00771072"/>
    <w:rsid w:val="00772769"/>
    <w:rsid w:val="00772D91"/>
    <w:rsid w:val="00773D3D"/>
    <w:rsid w:val="0077518B"/>
    <w:rsid w:val="00775383"/>
    <w:rsid w:val="00775BFA"/>
    <w:rsid w:val="00775E3D"/>
    <w:rsid w:val="0077771D"/>
    <w:rsid w:val="00781572"/>
    <w:rsid w:val="00781992"/>
    <w:rsid w:val="00782569"/>
    <w:rsid w:val="00783102"/>
    <w:rsid w:val="00785AD9"/>
    <w:rsid w:val="007860E6"/>
    <w:rsid w:val="007863A2"/>
    <w:rsid w:val="007874FF"/>
    <w:rsid w:val="007877ED"/>
    <w:rsid w:val="00787AFF"/>
    <w:rsid w:val="00791AEE"/>
    <w:rsid w:val="00791E26"/>
    <w:rsid w:val="007926DC"/>
    <w:rsid w:val="00793F57"/>
    <w:rsid w:val="00794413"/>
    <w:rsid w:val="00794A76"/>
    <w:rsid w:val="0079573E"/>
    <w:rsid w:val="0079641E"/>
    <w:rsid w:val="007970C1"/>
    <w:rsid w:val="00797461"/>
    <w:rsid w:val="007A13B3"/>
    <w:rsid w:val="007A1D77"/>
    <w:rsid w:val="007A3DAB"/>
    <w:rsid w:val="007A4AB7"/>
    <w:rsid w:val="007A61C7"/>
    <w:rsid w:val="007B0590"/>
    <w:rsid w:val="007B1408"/>
    <w:rsid w:val="007B591B"/>
    <w:rsid w:val="007B67A9"/>
    <w:rsid w:val="007C1CF2"/>
    <w:rsid w:val="007C4537"/>
    <w:rsid w:val="007C4B65"/>
    <w:rsid w:val="007C6CB1"/>
    <w:rsid w:val="007C7D81"/>
    <w:rsid w:val="007D1D29"/>
    <w:rsid w:val="007D23EB"/>
    <w:rsid w:val="007D2CD1"/>
    <w:rsid w:val="007D36B7"/>
    <w:rsid w:val="007D4309"/>
    <w:rsid w:val="007D6126"/>
    <w:rsid w:val="007E0916"/>
    <w:rsid w:val="007E092D"/>
    <w:rsid w:val="007E1F69"/>
    <w:rsid w:val="007E39A6"/>
    <w:rsid w:val="007E4221"/>
    <w:rsid w:val="007E6204"/>
    <w:rsid w:val="007E755B"/>
    <w:rsid w:val="007E7620"/>
    <w:rsid w:val="007F01E7"/>
    <w:rsid w:val="007F03AE"/>
    <w:rsid w:val="007F23E1"/>
    <w:rsid w:val="007F4750"/>
    <w:rsid w:val="007F57C6"/>
    <w:rsid w:val="007F6859"/>
    <w:rsid w:val="00800581"/>
    <w:rsid w:val="008009D2"/>
    <w:rsid w:val="00803697"/>
    <w:rsid w:val="00804C69"/>
    <w:rsid w:val="00805D73"/>
    <w:rsid w:val="008066A3"/>
    <w:rsid w:val="008076F4"/>
    <w:rsid w:val="00810B0A"/>
    <w:rsid w:val="0081224B"/>
    <w:rsid w:val="008134C1"/>
    <w:rsid w:val="0081507E"/>
    <w:rsid w:val="00815400"/>
    <w:rsid w:val="00816327"/>
    <w:rsid w:val="0081661A"/>
    <w:rsid w:val="0082011E"/>
    <w:rsid w:val="00820966"/>
    <w:rsid w:val="008224CF"/>
    <w:rsid w:val="0082359E"/>
    <w:rsid w:val="00824E11"/>
    <w:rsid w:val="00827B07"/>
    <w:rsid w:val="0083266B"/>
    <w:rsid w:val="00833F65"/>
    <w:rsid w:val="00834975"/>
    <w:rsid w:val="00836DF0"/>
    <w:rsid w:val="00837D9A"/>
    <w:rsid w:val="008422A9"/>
    <w:rsid w:val="00842429"/>
    <w:rsid w:val="00844E4F"/>
    <w:rsid w:val="008458FA"/>
    <w:rsid w:val="0084679F"/>
    <w:rsid w:val="0084739D"/>
    <w:rsid w:val="00847C8C"/>
    <w:rsid w:val="008531A9"/>
    <w:rsid w:val="00855529"/>
    <w:rsid w:val="00860368"/>
    <w:rsid w:val="008605A0"/>
    <w:rsid w:val="00863E72"/>
    <w:rsid w:val="00870FDE"/>
    <w:rsid w:val="00872D54"/>
    <w:rsid w:val="00874D0F"/>
    <w:rsid w:val="00875E7A"/>
    <w:rsid w:val="00876E22"/>
    <w:rsid w:val="008779F1"/>
    <w:rsid w:val="008818AC"/>
    <w:rsid w:val="00881A11"/>
    <w:rsid w:val="00885088"/>
    <w:rsid w:val="008860ED"/>
    <w:rsid w:val="00887574"/>
    <w:rsid w:val="00890702"/>
    <w:rsid w:val="00890EB9"/>
    <w:rsid w:val="0089333F"/>
    <w:rsid w:val="00893B9D"/>
    <w:rsid w:val="008949A1"/>
    <w:rsid w:val="008A2940"/>
    <w:rsid w:val="008A48AD"/>
    <w:rsid w:val="008A6054"/>
    <w:rsid w:val="008A64E0"/>
    <w:rsid w:val="008B0A77"/>
    <w:rsid w:val="008B0D5F"/>
    <w:rsid w:val="008B1A27"/>
    <w:rsid w:val="008B61B7"/>
    <w:rsid w:val="008C2015"/>
    <w:rsid w:val="008C2016"/>
    <w:rsid w:val="008C211C"/>
    <w:rsid w:val="008C356E"/>
    <w:rsid w:val="008C52CF"/>
    <w:rsid w:val="008C64E3"/>
    <w:rsid w:val="008C704D"/>
    <w:rsid w:val="008D35E7"/>
    <w:rsid w:val="008D5A94"/>
    <w:rsid w:val="008D5C42"/>
    <w:rsid w:val="008D6020"/>
    <w:rsid w:val="008D6B1A"/>
    <w:rsid w:val="008E25D3"/>
    <w:rsid w:val="008E27D0"/>
    <w:rsid w:val="008E41E1"/>
    <w:rsid w:val="008E5A12"/>
    <w:rsid w:val="008E5E94"/>
    <w:rsid w:val="008E650A"/>
    <w:rsid w:val="008E7072"/>
    <w:rsid w:val="008F36DA"/>
    <w:rsid w:val="008F4F18"/>
    <w:rsid w:val="008F59F1"/>
    <w:rsid w:val="008F5F9F"/>
    <w:rsid w:val="008F642B"/>
    <w:rsid w:val="008F69A8"/>
    <w:rsid w:val="008F6D26"/>
    <w:rsid w:val="008F7EFB"/>
    <w:rsid w:val="009013A7"/>
    <w:rsid w:val="00901497"/>
    <w:rsid w:val="009030A5"/>
    <w:rsid w:val="009037D9"/>
    <w:rsid w:val="00904877"/>
    <w:rsid w:val="00905255"/>
    <w:rsid w:val="00910BE4"/>
    <w:rsid w:val="00910BF9"/>
    <w:rsid w:val="0091443F"/>
    <w:rsid w:val="00914F30"/>
    <w:rsid w:val="00915BD5"/>
    <w:rsid w:val="00915F46"/>
    <w:rsid w:val="009170FE"/>
    <w:rsid w:val="0091753C"/>
    <w:rsid w:val="00920795"/>
    <w:rsid w:val="009231DE"/>
    <w:rsid w:val="00927E05"/>
    <w:rsid w:val="00930938"/>
    <w:rsid w:val="00931F55"/>
    <w:rsid w:val="00933566"/>
    <w:rsid w:val="0093362A"/>
    <w:rsid w:val="00934F87"/>
    <w:rsid w:val="009356EF"/>
    <w:rsid w:val="00936331"/>
    <w:rsid w:val="00937423"/>
    <w:rsid w:val="00940DD4"/>
    <w:rsid w:val="00943695"/>
    <w:rsid w:val="00944801"/>
    <w:rsid w:val="00944833"/>
    <w:rsid w:val="00945E5B"/>
    <w:rsid w:val="009462DE"/>
    <w:rsid w:val="00951114"/>
    <w:rsid w:val="009511A6"/>
    <w:rsid w:val="00951C51"/>
    <w:rsid w:val="00953D75"/>
    <w:rsid w:val="009541AD"/>
    <w:rsid w:val="00954326"/>
    <w:rsid w:val="00955DCC"/>
    <w:rsid w:val="00955E26"/>
    <w:rsid w:val="00957C9B"/>
    <w:rsid w:val="0096271E"/>
    <w:rsid w:val="00963AFD"/>
    <w:rsid w:val="00964D67"/>
    <w:rsid w:val="00964DBC"/>
    <w:rsid w:val="0096584B"/>
    <w:rsid w:val="00965AD7"/>
    <w:rsid w:val="00965B78"/>
    <w:rsid w:val="009678F4"/>
    <w:rsid w:val="00967A9E"/>
    <w:rsid w:val="00974D2F"/>
    <w:rsid w:val="00976CA5"/>
    <w:rsid w:val="00976DBE"/>
    <w:rsid w:val="00980578"/>
    <w:rsid w:val="00980F68"/>
    <w:rsid w:val="0098492F"/>
    <w:rsid w:val="00985F36"/>
    <w:rsid w:val="00990C44"/>
    <w:rsid w:val="009920F4"/>
    <w:rsid w:val="0099257C"/>
    <w:rsid w:val="0099402F"/>
    <w:rsid w:val="00995158"/>
    <w:rsid w:val="00995492"/>
    <w:rsid w:val="00997A34"/>
    <w:rsid w:val="009A283D"/>
    <w:rsid w:val="009A6406"/>
    <w:rsid w:val="009B1F91"/>
    <w:rsid w:val="009B2749"/>
    <w:rsid w:val="009B3CDB"/>
    <w:rsid w:val="009B49C6"/>
    <w:rsid w:val="009C201B"/>
    <w:rsid w:val="009C2353"/>
    <w:rsid w:val="009C2F49"/>
    <w:rsid w:val="009C446F"/>
    <w:rsid w:val="009C5172"/>
    <w:rsid w:val="009C5507"/>
    <w:rsid w:val="009C7C2A"/>
    <w:rsid w:val="009D0494"/>
    <w:rsid w:val="009D2E5D"/>
    <w:rsid w:val="009D432E"/>
    <w:rsid w:val="009D620E"/>
    <w:rsid w:val="009D65C9"/>
    <w:rsid w:val="009D6A0A"/>
    <w:rsid w:val="009E0115"/>
    <w:rsid w:val="009E0792"/>
    <w:rsid w:val="009E0827"/>
    <w:rsid w:val="009E2939"/>
    <w:rsid w:val="009E4877"/>
    <w:rsid w:val="009E49B5"/>
    <w:rsid w:val="009E583B"/>
    <w:rsid w:val="009E5D1D"/>
    <w:rsid w:val="009E5D90"/>
    <w:rsid w:val="009F03D8"/>
    <w:rsid w:val="009F366D"/>
    <w:rsid w:val="009F41B5"/>
    <w:rsid w:val="009F4258"/>
    <w:rsid w:val="009F5B5D"/>
    <w:rsid w:val="009F65B2"/>
    <w:rsid w:val="009F7D36"/>
    <w:rsid w:val="00A00AAA"/>
    <w:rsid w:val="00A016E5"/>
    <w:rsid w:val="00A016F6"/>
    <w:rsid w:val="00A0291C"/>
    <w:rsid w:val="00A04A37"/>
    <w:rsid w:val="00A0655B"/>
    <w:rsid w:val="00A10944"/>
    <w:rsid w:val="00A1404E"/>
    <w:rsid w:val="00A14F40"/>
    <w:rsid w:val="00A15A52"/>
    <w:rsid w:val="00A169A8"/>
    <w:rsid w:val="00A16AC5"/>
    <w:rsid w:val="00A179FE"/>
    <w:rsid w:val="00A2085F"/>
    <w:rsid w:val="00A20C17"/>
    <w:rsid w:val="00A20E9E"/>
    <w:rsid w:val="00A24BD5"/>
    <w:rsid w:val="00A2574A"/>
    <w:rsid w:val="00A25917"/>
    <w:rsid w:val="00A2705C"/>
    <w:rsid w:val="00A3179B"/>
    <w:rsid w:val="00A3198C"/>
    <w:rsid w:val="00A32F78"/>
    <w:rsid w:val="00A36892"/>
    <w:rsid w:val="00A37DAA"/>
    <w:rsid w:val="00A4021D"/>
    <w:rsid w:val="00A40709"/>
    <w:rsid w:val="00A407FA"/>
    <w:rsid w:val="00A42198"/>
    <w:rsid w:val="00A423E0"/>
    <w:rsid w:val="00A43322"/>
    <w:rsid w:val="00A4419C"/>
    <w:rsid w:val="00A44C9B"/>
    <w:rsid w:val="00A46F4B"/>
    <w:rsid w:val="00A4725D"/>
    <w:rsid w:val="00A47A06"/>
    <w:rsid w:val="00A51486"/>
    <w:rsid w:val="00A517DF"/>
    <w:rsid w:val="00A539B4"/>
    <w:rsid w:val="00A56275"/>
    <w:rsid w:val="00A56C21"/>
    <w:rsid w:val="00A5707E"/>
    <w:rsid w:val="00A64CBC"/>
    <w:rsid w:val="00A670FF"/>
    <w:rsid w:val="00A70F20"/>
    <w:rsid w:val="00A72312"/>
    <w:rsid w:val="00A73313"/>
    <w:rsid w:val="00A7398F"/>
    <w:rsid w:val="00A73DF6"/>
    <w:rsid w:val="00A754CD"/>
    <w:rsid w:val="00A75BDC"/>
    <w:rsid w:val="00A75F84"/>
    <w:rsid w:val="00A76E87"/>
    <w:rsid w:val="00A80A8A"/>
    <w:rsid w:val="00A81833"/>
    <w:rsid w:val="00A82B28"/>
    <w:rsid w:val="00A83A2B"/>
    <w:rsid w:val="00A83C43"/>
    <w:rsid w:val="00A84821"/>
    <w:rsid w:val="00A84BC5"/>
    <w:rsid w:val="00A8526E"/>
    <w:rsid w:val="00A85960"/>
    <w:rsid w:val="00A863FC"/>
    <w:rsid w:val="00A87243"/>
    <w:rsid w:val="00A906CC"/>
    <w:rsid w:val="00A921C4"/>
    <w:rsid w:val="00A95817"/>
    <w:rsid w:val="00A9708C"/>
    <w:rsid w:val="00A973D8"/>
    <w:rsid w:val="00AA1477"/>
    <w:rsid w:val="00AA496C"/>
    <w:rsid w:val="00AA4A42"/>
    <w:rsid w:val="00AA4CCB"/>
    <w:rsid w:val="00AA4FDD"/>
    <w:rsid w:val="00AA5FDE"/>
    <w:rsid w:val="00AA628C"/>
    <w:rsid w:val="00AB4A9A"/>
    <w:rsid w:val="00AB52C2"/>
    <w:rsid w:val="00AB6825"/>
    <w:rsid w:val="00AC1E74"/>
    <w:rsid w:val="00AC2080"/>
    <w:rsid w:val="00AC3CA9"/>
    <w:rsid w:val="00AC4ACA"/>
    <w:rsid w:val="00AC560B"/>
    <w:rsid w:val="00AC6B17"/>
    <w:rsid w:val="00AC7AFA"/>
    <w:rsid w:val="00AD04DF"/>
    <w:rsid w:val="00AD0804"/>
    <w:rsid w:val="00AD26F8"/>
    <w:rsid w:val="00AD29C6"/>
    <w:rsid w:val="00AD2B88"/>
    <w:rsid w:val="00AD4153"/>
    <w:rsid w:val="00AD50BD"/>
    <w:rsid w:val="00AD5E37"/>
    <w:rsid w:val="00AD62D9"/>
    <w:rsid w:val="00AE01DE"/>
    <w:rsid w:val="00AE08CA"/>
    <w:rsid w:val="00AE4E2A"/>
    <w:rsid w:val="00AE5961"/>
    <w:rsid w:val="00AE5AA6"/>
    <w:rsid w:val="00AE5BE3"/>
    <w:rsid w:val="00AF170A"/>
    <w:rsid w:val="00AF2E08"/>
    <w:rsid w:val="00AF4639"/>
    <w:rsid w:val="00AF473B"/>
    <w:rsid w:val="00AF71B4"/>
    <w:rsid w:val="00AF7870"/>
    <w:rsid w:val="00AF7C85"/>
    <w:rsid w:val="00B00667"/>
    <w:rsid w:val="00B00B8A"/>
    <w:rsid w:val="00B0141D"/>
    <w:rsid w:val="00B03292"/>
    <w:rsid w:val="00B048CF"/>
    <w:rsid w:val="00B0696C"/>
    <w:rsid w:val="00B10787"/>
    <w:rsid w:val="00B10C36"/>
    <w:rsid w:val="00B10D5A"/>
    <w:rsid w:val="00B12A2E"/>
    <w:rsid w:val="00B14666"/>
    <w:rsid w:val="00B14DAC"/>
    <w:rsid w:val="00B15334"/>
    <w:rsid w:val="00B16EAC"/>
    <w:rsid w:val="00B17629"/>
    <w:rsid w:val="00B17F66"/>
    <w:rsid w:val="00B201A4"/>
    <w:rsid w:val="00B214F8"/>
    <w:rsid w:val="00B22BF0"/>
    <w:rsid w:val="00B23012"/>
    <w:rsid w:val="00B23392"/>
    <w:rsid w:val="00B238B0"/>
    <w:rsid w:val="00B2452E"/>
    <w:rsid w:val="00B2610A"/>
    <w:rsid w:val="00B3061B"/>
    <w:rsid w:val="00B31B27"/>
    <w:rsid w:val="00B35C60"/>
    <w:rsid w:val="00B35CF9"/>
    <w:rsid w:val="00B36D2E"/>
    <w:rsid w:val="00B42B95"/>
    <w:rsid w:val="00B44ABF"/>
    <w:rsid w:val="00B467FC"/>
    <w:rsid w:val="00B47B3B"/>
    <w:rsid w:val="00B47B58"/>
    <w:rsid w:val="00B501DE"/>
    <w:rsid w:val="00B50A8F"/>
    <w:rsid w:val="00B51F23"/>
    <w:rsid w:val="00B52504"/>
    <w:rsid w:val="00B52834"/>
    <w:rsid w:val="00B52FC8"/>
    <w:rsid w:val="00B55C5B"/>
    <w:rsid w:val="00B55EED"/>
    <w:rsid w:val="00B608A5"/>
    <w:rsid w:val="00B63808"/>
    <w:rsid w:val="00B656E4"/>
    <w:rsid w:val="00B65D21"/>
    <w:rsid w:val="00B660C7"/>
    <w:rsid w:val="00B66679"/>
    <w:rsid w:val="00B70037"/>
    <w:rsid w:val="00B76D13"/>
    <w:rsid w:val="00B775D9"/>
    <w:rsid w:val="00B77A39"/>
    <w:rsid w:val="00B77D83"/>
    <w:rsid w:val="00B8533D"/>
    <w:rsid w:val="00B8555C"/>
    <w:rsid w:val="00B868B9"/>
    <w:rsid w:val="00B8691A"/>
    <w:rsid w:val="00B86A08"/>
    <w:rsid w:val="00B90BB8"/>
    <w:rsid w:val="00B91489"/>
    <w:rsid w:val="00B936E8"/>
    <w:rsid w:val="00B93BBE"/>
    <w:rsid w:val="00B93BC7"/>
    <w:rsid w:val="00B93EE6"/>
    <w:rsid w:val="00B95B3A"/>
    <w:rsid w:val="00B95E3D"/>
    <w:rsid w:val="00B96CE8"/>
    <w:rsid w:val="00B97201"/>
    <w:rsid w:val="00BA22E6"/>
    <w:rsid w:val="00BA2C5C"/>
    <w:rsid w:val="00BA61FA"/>
    <w:rsid w:val="00BB100C"/>
    <w:rsid w:val="00BB110D"/>
    <w:rsid w:val="00BB2184"/>
    <w:rsid w:val="00BB281C"/>
    <w:rsid w:val="00BB363B"/>
    <w:rsid w:val="00BB55F9"/>
    <w:rsid w:val="00BB5A55"/>
    <w:rsid w:val="00BB618E"/>
    <w:rsid w:val="00BB6849"/>
    <w:rsid w:val="00BB76A8"/>
    <w:rsid w:val="00BB7C9A"/>
    <w:rsid w:val="00BC3F76"/>
    <w:rsid w:val="00BC45C6"/>
    <w:rsid w:val="00BC55A6"/>
    <w:rsid w:val="00BC612E"/>
    <w:rsid w:val="00BC71E0"/>
    <w:rsid w:val="00BD07F6"/>
    <w:rsid w:val="00BD126F"/>
    <w:rsid w:val="00BD19CB"/>
    <w:rsid w:val="00BD2E38"/>
    <w:rsid w:val="00BD5A7C"/>
    <w:rsid w:val="00BD5F5E"/>
    <w:rsid w:val="00BD615C"/>
    <w:rsid w:val="00BD6758"/>
    <w:rsid w:val="00BD7F0F"/>
    <w:rsid w:val="00BE0B61"/>
    <w:rsid w:val="00BE2451"/>
    <w:rsid w:val="00BE2533"/>
    <w:rsid w:val="00BE2ACC"/>
    <w:rsid w:val="00BE2D44"/>
    <w:rsid w:val="00BE375D"/>
    <w:rsid w:val="00BE61CA"/>
    <w:rsid w:val="00BE689E"/>
    <w:rsid w:val="00BE79C7"/>
    <w:rsid w:val="00BE7B8B"/>
    <w:rsid w:val="00BF1B90"/>
    <w:rsid w:val="00BF5CEE"/>
    <w:rsid w:val="00C0192B"/>
    <w:rsid w:val="00C04A8E"/>
    <w:rsid w:val="00C05816"/>
    <w:rsid w:val="00C05EE7"/>
    <w:rsid w:val="00C0693F"/>
    <w:rsid w:val="00C07E17"/>
    <w:rsid w:val="00C118AF"/>
    <w:rsid w:val="00C12195"/>
    <w:rsid w:val="00C14719"/>
    <w:rsid w:val="00C1563A"/>
    <w:rsid w:val="00C16AC3"/>
    <w:rsid w:val="00C17735"/>
    <w:rsid w:val="00C21E45"/>
    <w:rsid w:val="00C23587"/>
    <w:rsid w:val="00C24DA7"/>
    <w:rsid w:val="00C269A1"/>
    <w:rsid w:val="00C2719E"/>
    <w:rsid w:val="00C3098F"/>
    <w:rsid w:val="00C3495C"/>
    <w:rsid w:val="00C352B0"/>
    <w:rsid w:val="00C35C51"/>
    <w:rsid w:val="00C35F83"/>
    <w:rsid w:val="00C376DC"/>
    <w:rsid w:val="00C4026A"/>
    <w:rsid w:val="00C40BFA"/>
    <w:rsid w:val="00C41F0F"/>
    <w:rsid w:val="00C425AD"/>
    <w:rsid w:val="00C443EB"/>
    <w:rsid w:val="00C4467B"/>
    <w:rsid w:val="00C455D5"/>
    <w:rsid w:val="00C51D35"/>
    <w:rsid w:val="00C526BF"/>
    <w:rsid w:val="00C56E95"/>
    <w:rsid w:val="00C57424"/>
    <w:rsid w:val="00C57DC6"/>
    <w:rsid w:val="00C6122C"/>
    <w:rsid w:val="00C61706"/>
    <w:rsid w:val="00C6199C"/>
    <w:rsid w:val="00C646AB"/>
    <w:rsid w:val="00C64A09"/>
    <w:rsid w:val="00C64E7B"/>
    <w:rsid w:val="00C6623B"/>
    <w:rsid w:val="00C666BA"/>
    <w:rsid w:val="00C70CFE"/>
    <w:rsid w:val="00C72644"/>
    <w:rsid w:val="00C7306A"/>
    <w:rsid w:val="00C75F2B"/>
    <w:rsid w:val="00C8284B"/>
    <w:rsid w:val="00C82981"/>
    <w:rsid w:val="00C83001"/>
    <w:rsid w:val="00C830E8"/>
    <w:rsid w:val="00C84526"/>
    <w:rsid w:val="00C845A8"/>
    <w:rsid w:val="00C846F7"/>
    <w:rsid w:val="00C8646F"/>
    <w:rsid w:val="00C8712A"/>
    <w:rsid w:val="00C87A84"/>
    <w:rsid w:val="00C91068"/>
    <w:rsid w:val="00C92B0E"/>
    <w:rsid w:val="00C94B40"/>
    <w:rsid w:val="00C956D6"/>
    <w:rsid w:val="00C96D4A"/>
    <w:rsid w:val="00C973D2"/>
    <w:rsid w:val="00C97FE3"/>
    <w:rsid w:val="00CA05D8"/>
    <w:rsid w:val="00CA2ED3"/>
    <w:rsid w:val="00CA32CA"/>
    <w:rsid w:val="00CA41B2"/>
    <w:rsid w:val="00CA54A7"/>
    <w:rsid w:val="00CA57F7"/>
    <w:rsid w:val="00CA5BDF"/>
    <w:rsid w:val="00CA5C65"/>
    <w:rsid w:val="00CA5E20"/>
    <w:rsid w:val="00CA6AF3"/>
    <w:rsid w:val="00CB018D"/>
    <w:rsid w:val="00CB0C5F"/>
    <w:rsid w:val="00CB106A"/>
    <w:rsid w:val="00CB2486"/>
    <w:rsid w:val="00CB3942"/>
    <w:rsid w:val="00CB482B"/>
    <w:rsid w:val="00CB664B"/>
    <w:rsid w:val="00CC1F6E"/>
    <w:rsid w:val="00CC33A7"/>
    <w:rsid w:val="00CC35B5"/>
    <w:rsid w:val="00CC370C"/>
    <w:rsid w:val="00CC4851"/>
    <w:rsid w:val="00CC4FDF"/>
    <w:rsid w:val="00CC6F05"/>
    <w:rsid w:val="00CD18D2"/>
    <w:rsid w:val="00CD2035"/>
    <w:rsid w:val="00CD3273"/>
    <w:rsid w:val="00CD7649"/>
    <w:rsid w:val="00CE1904"/>
    <w:rsid w:val="00CE29BF"/>
    <w:rsid w:val="00CE40D6"/>
    <w:rsid w:val="00CE4927"/>
    <w:rsid w:val="00CE5392"/>
    <w:rsid w:val="00CE6CAC"/>
    <w:rsid w:val="00CF16DD"/>
    <w:rsid w:val="00CF1CC1"/>
    <w:rsid w:val="00CF4885"/>
    <w:rsid w:val="00CF7A16"/>
    <w:rsid w:val="00CF7D69"/>
    <w:rsid w:val="00D00187"/>
    <w:rsid w:val="00D01B50"/>
    <w:rsid w:val="00D03247"/>
    <w:rsid w:val="00D05853"/>
    <w:rsid w:val="00D06B51"/>
    <w:rsid w:val="00D072A0"/>
    <w:rsid w:val="00D12554"/>
    <w:rsid w:val="00D12AC3"/>
    <w:rsid w:val="00D1315E"/>
    <w:rsid w:val="00D16D5D"/>
    <w:rsid w:val="00D175C4"/>
    <w:rsid w:val="00D20355"/>
    <w:rsid w:val="00D211B1"/>
    <w:rsid w:val="00D212D5"/>
    <w:rsid w:val="00D2169D"/>
    <w:rsid w:val="00D21D9C"/>
    <w:rsid w:val="00D21FEE"/>
    <w:rsid w:val="00D224B3"/>
    <w:rsid w:val="00D24248"/>
    <w:rsid w:val="00D24332"/>
    <w:rsid w:val="00D26478"/>
    <w:rsid w:val="00D33355"/>
    <w:rsid w:val="00D3636A"/>
    <w:rsid w:val="00D36C6C"/>
    <w:rsid w:val="00D40608"/>
    <w:rsid w:val="00D40819"/>
    <w:rsid w:val="00D40A13"/>
    <w:rsid w:val="00D40F5D"/>
    <w:rsid w:val="00D42361"/>
    <w:rsid w:val="00D4342F"/>
    <w:rsid w:val="00D457ED"/>
    <w:rsid w:val="00D45DF0"/>
    <w:rsid w:val="00D4658F"/>
    <w:rsid w:val="00D46995"/>
    <w:rsid w:val="00D46F55"/>
    <w:rsid w:val="00D47AC9"/>
    <w:rsid w:val="00D51461"/>
    <w:rsid w:val="00D52939"/>
    <w:rsid w:val="00D52E1A"/>
    <w:rsid w:val="00D5380D"/>
    <w:rsid w:val="00D54417"/>
    <w:rsid w:val="00D5484F"/>
    <w:rsid w:val="00D552B7"/>
    <w:rsid w:val="00D57C47"/>
    <w:rsid w:val="00D60B3F"/>
    <w:rsid w:val="00D6142C"/>
    <w:rsid w:val="00D623A2"/>
    <w:rsid w:val="00D636D5"/>
    <w:rsid w:val="00D651CC"/>
    <w:rsid w:val="00D6567F"/>
    <w:rsid w:val="00D65A1A"/>
    <w:rsid w:val="00D67503"/>
    <w:rsid w:val="00D700CA"/>
    <w:rsid w:val="00D702C6"/>
    <w:rsid w:val="00D7485B"/>
    <w:rsid w:val="00D75C89"/>
    <w:rsid w:val="00D76679"/>
    <w:rsid w:val="00D80F1E"/>
    <w:rsid w:val="00D8275E"/>
    <w:rsid w:val="00D8296B"/>
    <w:rsid w:val="00D82E58"/>
    <w:rsid w:val="00D832EF"/>
    <w:rsid w:val="00D852C2"/>
    <w:rsid w:val="00D87B53"/>
    <w:rsid w:val="00D904CF"/>
    <w:rsid w:val="00D91C72"/>
    <w:rsid w:val="00D9224C"/>
    <w:rsid w:val="00D9363B"/>
    <w:rsid w:val="00D94650"/>
    <w:rsid w:val="00D94675"/>
    <w:rsid w:val="00D957A8"/>
    <w:rsid w:val="00D963DF"/>
    <w:rsid w:val="00D97AA3"/>
    <w:rsid w:val="00D97D60"/>
    <w:rsid w:val="00DA009F"/>
    <w:rsid w:val="00DA20C3"/>
    <w:rsid w:val="00DA5B8F"/>
    <w:rsid w:val="00DA6945"/>
    <w:rsid w:val="00DB17E1"/>
    <w:rsid w:val="00DB2776"/>
    <w:rsid w:val="00DB3050"/>
    <w:rsid w:val="00DB4E95"/>
    <w:rsid w:val="00DB70B7"/>
    <w:rsid w:val="00DB7468"/>
    <w:rsid w:val="00DB7742"/>
    <w:rsid w:val="00DC1F8E"/>
    <w:rsid w:val="00DC2E8D"/>
    <w:rsid w:val="00DD25B2"/>
    <w:rsid w:val="00DD2DD3"/>
    <w:rsid w:val="00DD3BED"/>
    <w:rsid w:val="00DD4916"/>
    <w:rsid w:val="00DD4BCE"/>
    <w:rsid w:val="00DD4C6A"/>
    <w:rsid w:val="00DD717F"/>
    <w:rsid w:val="00DE0E6A"/>
    <w:rsid w:val="00DE1C1F"/>
    <w:rsid w:val="00DE1E6C"/>
    <w:rsid w:val="00DE20C6"/>
    <w:rsid w:val="00DE2D16"/>
    <w:rsid w:val="00DE425B"/>
    <w:rsid w:val="00DE567B"/>
    <w:rsid w:val="00DE75D0"/>
    <w:rsid w:val="00DE7812"/>
    <w:rsid w:val="00DF0E95"/>
    <w:rsid w:val="00DF57A2"/>
    <w:rsid w:val="00DF6644"/>
    <w:rsid w:val="00E01E25"/>
    <w:rsid w:val="00E02565"/>
    <w:rsid w:val="00E044AF"/>
    <w:rsid w:val="00E04787"/>
    <w:rsid w:val="00E0638C"/>
    <w:rsid w:val="00E10438"/>
    <w:rsid w:val="00E1068C"/>
    <w:rsid w:val="00E11BAD"/>
    <w:rsid w:val="00E1486C"/>
    <w:rsid w:val="00E1660D"/>
    <w:rsid w:val="00E16E46"/>
    <w:rsid w:val="00E176AE"/>
    <w:rsid w:val="00E21242"/>
    <w:rsid w:val="00E2201A"/>
    <w:rsid w:val="00E23A63"/>
    <w:rsid w:val="00E2703E"/>
    <w:rsid w:val="00E30891"/>
    <w:rsid w:val="00E321C7"/>
    <w:rsid w:val="00E33A23"/>
    <w:rsid w:val="00E34DA9"/>
    <w:rsid w:val="00E40A44"/>
    <w:rsid w:val="00E40C22"/>
    <w:rsid w:val="00E41B7A"/>
    <w:rsid w:val="00E4296F"/>
    <w:rsid w:val="00E44A55"/>
    <w:rsid w:val="00E50093"/>
    <w:rsid w:val="00E50337"/>
    <w:rsid w:val="00E51732"/>
    <w:rsid w:val="00E52EA6"/>
    <w:rsid w:val="00E52F84"/>
    <w:rsid w:val="00E559BF"/>
    <w:rsid w:val="00E55BFB"/>
    <w:rsid w:val="00E56493"/>
    <w:rsid w:val="00E56E40"/>
    <w:rsid w:val="00E57496"/>
    <w:rsid w:val="00E60816"/>
    <w:rsid w:val="00E65698"/>
    <w:rsid w:val="00E65F28"/>
    <w:rsid w:val="00E66623"/>
    <w:rsid w:val="00E713D4"/>
    <w:rsid w:val="00E71F33"/>
    <w:rsid w:val="00E73BFC"/>
    <w:rsid w:val="00E73CA4"/>
    <w:rsid w:val="00E74D0C"/>
    <w:rsid w:val="00E751CC"/>
    <w:rsid w:val="00E76DF2"/>
    <w:rsid w:val="00E77782"/>
    <w:rsid w:val="00E81766"/>
    <w:rsid w:val="00E82841"/>
    <w:rsid w:val="00E833F5"/>
    <w:rsid w:val="00E83AF2"/>
    <w:rsid w:val="00E853FC"/>
    <w:rsid w:val="00E86DBA"/>
    <w:rsid w:val="00E86E83"/>
    <w:rsid w:val="00E90591"/>
    <w:rsid w:val="00E90A7B"/>
    <w:rsid w:val="00E90AC2"/>
    <w:rsid w:val="00E92A52"/>
    <w:rsid w:val="00E93401"/>
    <w:rsid w:val="00E9544A"/>
    <w:rsid w:val="00E97983"/>
    <w:rsid w:val="00EA0C45"/>
    <w:rsid w:val="00EA3356"/>
    <w:rsid w:val="00EA4698"/>
    <w:rsid w:val="00EA5101"/>
    <w:rsid w:val="00EA75DE"/>
    <w:rsid w:val="00EA7C7D"/>
    <w:rsid w:val="00EA7ED1"/>
    <w:rsid w:val="00EB26CC"/>
    <w:rsid w:val="00EB4D47"/>
    <w:rsid w:val="00EC544B"/>
    <w:rsid w:val="00ED730C"/>
    <w:rsid w:val="00ED76A4"/>
    <w:rsid w:val="00EE0630"/>
    <w:rsid w:val="00EE0E5B"/>
    <w:rsid w:val="00EE1F4A"/>
    <w:rsid w:val="00EE3131"/>
    <w:rsid w:val="00EE3C7A"/>
    <w:rsid w:val="00EE67D2"/>
    <w:rsid w:val="00EF0B75"/>
    <w:rsid w:val="00EF0FDE"/>
    <w:rsid w:val="00EF112E"/>
    <w:rsid w:val="00EF4BBD"/>
    <w:rsid w:val="00EF6A1A"/>
    <w:rsid w:val="00F00800"/>
    <w:rsid w:val="00F00F2E"/>
    <w:rsid w:val="00F012CB"/>
    <w:rsid w:val="00F01B44"/>
    <w:rsid w:val="00F0219F"/>
    <w:rsid w:val="00F04D33"/>
    <w:rsid w:val="00F06907"/>
    <w:rsid w:val="00F117E0"/>
    <w:rsid w:val="00F11B46"/>
    <w:rsid w:val="00F12B6B"/>
    <w:rsid w:val="00F14A3D"/>
    <w:rsid w:val="00F16C06"/>
    <w:rsid w:val="00F17C23"/>
    <w:rsid w:val="00F22962"/>
    <w:rsid w:val="00F23722"/>
    <w:rsid w:val="00F24266"/>
    <w:rsid w:val="00F24512"/>
    <w:rsid w:val="00F25C9B"/>
    <w:rsid w:val="00F25E2D"/>
    <w:rsid w:val="00F320F1"/>
    <w:rsid w:val="00F324F9"/>
    <w:rsid w:val="00F35826"/>
    <w:rsid w:val="00F369D2"/>
    <w:rsid w:val="00F369E9"/>
    <w:rsid w:val="00F36D62"/>
    <w:rsid w:val="00F37AC2"/>
    <w:rsid w:val="00F37C86"/>
    <w:rsid w:val="00F37E33"/>
    <w:rsid w:val="00F41E18"/>
    <w:rsid w:val="00F42DBB"/>
    <w:rsid w:val="00F43237"/>
    <w:rsid w:val="00F44181"/>
    <w:rsid w:val="00F4451A"/>
    <w:rsid w:val="00F44942"/>
    <w:rsid w:val="00F44B55"/>
    <w:rsid w:val="00F45387"/>
    <w:rsid w:val="00F46597"/>
    <w:rsid w:val="00F477B0"/>
    <w:rsid w:val="00F47E29"/>
    <w:rsid w:val="00F506C1"/>
    <w:rsid w:val="00F524D1"/>
    <w:rsid w:val="00F52F7E"/>
    <w:rsid w:val="00F545EB"/>
    <w:rsid w:val="00F55295"/>
    <w:rsid w:val="00F560BC"/>
    <w:rsid w:val="00F57543"/>
    <w:rsid w:val="00F57B61"/>
    <w:rsid w:val="00F64BCB"/>
    <w:rsid w:val="00F6600C"/>
    <w:rsid w:val="00F6707A"/>
    <w:rsid w:val="00F70824"/>
    <w:rsid w:val="00F71B78"/>
    <w:rsid w:val="00F72539"/>
    <w:rsid w:val="00F742CF"/>
    <w:rsid w:val="00F743BF"/>
    <w:rsid w:val="00F74D35"/>
    <w:rsid w:val="00F77B12"/>
    <w:rsid w:val="00F80925"/>
    <w:rsid w:val="00F8641B"/>
    <w:rsid w:val="00F902D2"/>
    <w:rsid w:val="00F907CC"/>
    <w:rsid w:val="00F90DEB"/>
    <w:rsid w:val="00F93411"/>
    <w:rsid w:val="00F939D7"/>
    <w:rsid w:val="00F97013"/>
    <w:rsid w:val="00F97038"/>
    <w:rsid w:val="00F971BF"/>
    <w:rsid w:val="00F977EE"/>
    <w:rsid w:val="00F97B6D"/>
    <w:rsid w:val="00FB0F20"/>
    <w:rsid w:val="00FB17E1"/>
    <w:rsid w:val="00FB3454"/>
    <w:rsid w:val="00FB7A13"/>
    <w:rsid w:val="00FC1B3C"/>
    <w:rsid w:val="00FC20E1"/>
    <w:rsid w:val="00FC2775"/>
    <w:rsid w:val="00FC3854"/>
    <w:rsid w:val="00FC4477"/>
    <w:rsid w:val="00FC4F60"/>
    <w:rsid w:val="00FC5F53"/>
    <w:rsid w:val="00FD2322"/>
    <w:rsid w:val="00FD42FB"/>
    <w:rsid w:val="00FD4412"/>
    <w:rsid w:val="00FD52CA"/>
    <w:rsid w:val="00FE4832"/>
    <w:rsid w:val="00FE55AA"/>
    <w:rsid w:val="00FE5625"/>
    <w:rsid w:val="00FE5640"/>
    <w:rsid w:val="00FE5DA5"/>
    <w:rsid w:val="00FE7758"/>
    <w:rsid w:val="00FF24E0"/>
    <w:rsid w:val="00FF28BA"/>
    <w:rsid w:val="00FF3C2B"/>
    <w:rsid w:val="00FF45B2"/>
    <w:rsid w:val="00FF5192"/>
    <w:rsid w:val="00FF6694"/>
    <w:rsid w:val="1D414699"/>
    <w:rsid w:val="26134C40"/>
    <w:rsid w:val="380D062A"/>
    <w:rsid w:val="42696550"/>
    <w:rsid w:val="78F74054"/>
    <w:rsid w:val="DDAF4912"/>
    <w:rsid w:val="E97CC004"/>
    <w:rsid w:val="F7FF894C"/>
    <w:rsid w:val="FF7F21A0"/>
    <w:rsid w:val="FF7FE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qFormat/>
    <w:uiPriority w:val="0"/>
    <w:rPr>
      <w:rFonts w:ascii="宋体"/>
      <w:sz w:val="18"/>
      <w:szCs w:val="18"/>
    </w:rPr>
  </w:style>
  <w:style w:type="paragraph" w:styleId="5">
    <w:name w:val="annotation text"/>
    <w:basedOn w:val="1"/>
    <w:link w:val="29"/>
    <w:qFormat/>
    <w:uiPriority w:val="0"/>
    <w:pPr>
      <w:jc w:val="left"/>
    </w:pPr>
  </w:style>
  <w:style w:type="paragraph" w:styleId="6">
    <w:name w:val="Body Text"/>
    <w:basedOn w:val="1"/>
    <w:qFormat/>
    <w:uiPriority w:val="0"/>
    <w:pPr>
      <w:widowControl/>
      <w:tabs>
        <w:tab w:val="left" w:pos="720"/>
        <w:tab w:val="left" w:pos="1440"/>
        <w:tab w:val="left" w:pos="2160"/>
        <w:tab w:val="left" w:pos="2880"/>
        <w:tab w:val="left" w:pos="3600"/>
        <w:tab w:val="left" w:pos="4321"/>
        <w:tab w:val="left" w:pos="5041"/>
        <w:tab w:val="left" w:pos="5761"/>
        <w:tab w:val="left" w:pos="6481"/>
        <w:tab w:val="left" w:pos="7201"/>
        <w:tab w:val="left" w:pos="7921"/>
      </w:tabs>
      <w:autoSpaceDE w:val="0"/>
      <w:autoSpaceDN w:val="0"/>
      <w:spacing w:after="120"/>
      <w:jc w:val="left"/>
    </w:pPr>
    <w:rPr>
      <w:kern w:val="0"/>
      <w:sz w:val="24"/>
      <w:lang w:val="en-AU"/>
    </w:rPr>
  </w:style>
  <w:style w:type="paragraph" w:styleId="7">
    <w:name w:val="Body Text Indent"/>
    <w:basedOn w:val="1"/>
    <w:link w:val="34"/>
    <w:semiHidden/>
    <w:unhideWhenUsed/>
    <w:qFormat/>
    <w:uiPriority w:val="0"/>
    <w:pPr>
      <w:spacing w:after="120"/>
      <w:ind w:left="420" w:leftChars="200"/>
    </w:pPr>
  </w:style>
  <w:style w:type="paragraph" w:styleId="8">
    <w:name w:val="Plain Text"/>
    <w:basedOn w:val="1"/>
    <w:link w:val="35"/>
    <w:qFormat/>
    <w:uiPriority w:val="99"/>
    <w:rPr>
      <w:rFonts w:ascii="宋体" w:hAnsi="Courier New"/>
      <w:szCs w:val="21"/>
    </w:rPr>
  </w:style>
  <w:style w:type="paragraph" w:styleId="9">
    <w:name w:val="Date"/>
    <w:basedOn w:val="1"/>
    <w:next w:val="1"/>
    <w:link w:val="32"/>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37"/>
    <w:qFormat/>
    <w:uiPriority w:val="99"/>
    <w:pPr>
      <w:tabs>
        <w:tab w:val="center" w:pos="4153"/>
        <w:tab w:val="right" w:pos="8306"/>
      </w:tabs>
      <w:snapToGrid w:val="0"/>
      <w:jc w:val="left"/>
    </w:pPr>
    <w:rPr>
      <w:sz w:val="18"/>
    </w:rPr>
  </w:style>
  <w:style w:type="paragraph" w:styleId="12">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30"/>
    <w:qFormat/>
    <w:uiPriority w:val="0"/>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0"/>
    <w:rPr>
      <w:i/>
      <w:iCs/>
    </w:rPr>
  </w:style>
  <w:style w:type="character" w:styleId="21">
    <w:name w:val="annotation reference"/>
    <w:basedOn w:val="18"/>
    <w:qFormat/>
    <w:uiPriority w:val="0"/>
    <w:rPr>
      <w:sz w:val="21"/>
      <w:szCs w:val="21"/>
    </w:rPr>
  </w:style>
  <w:style w:type="character" w:customStyle="1" w:styleId="22">
    <w:name w:val="批注框文本 字符"/>
    <w:basedOn w:val="18"/>
    <w:link w:val="10"/>
    <w:qFormat/>
    <w:uiPriority w:val="0"/>
    <w:rPr>
      <w:kern w:val="2"/>
      <w:sz w:val="18"/>
      <w:szCs w:val="18"/>
    </w:rPr>
  </w:style>
  <w:style w:type="character" w:customStyle="1" w:styleId="23">
    <w:name w:val="标题 1 字符"/>
    <w:basedOn w:val="18"/>
    <w:link w:val="2"/>
    <w:qFormat/>
    <w:uiPriority w:val="9"/>
    <w:rPr>
      <w:b/>
      <w:bCs/>
      <w:kern w:val="44"/>
      <w:sz w:val="44"/>
      <w:szCs w:val="44"/>
    </w:rPr>
  </w:style>
  <w:style w:type="paragraph" w:styleId="24">
    <w:name w:val="List Paragraph"/>
    <w:basedOn w:val="1"/>
    <w:unhideWhenUsed/>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福马正文"/>
    <w:basedOn w:val="1"/>
    <w:link w:val="27"/>
    <w:qFormat/>
    <w:uiPriority w:val="0"/>
    <w:pPr>
      <w:tabs>
        <w:tab w:val="center" w:pos="4320"/>
      </w:tabs>
      <w:spacing w:beforeLines="75" w:afterLines="75" w:line="300" w:lineRule="auto"/>
      <w:ind w:firstLine="440" w:firstLineChars="200"/>
    </w:pPr>
    <w:rPr>
      <w:rFonts w:ascii="宋体" w:hAnsi="宋体"/>
      <w:sz w:val="22"/>
    </w:rPr>
  </w:style>
  <w:style w:type="character" w:customStyle="1" w:styleId="27">
    <w:name w:val="福马正文 Char"/>
    <w:link w:val="26"/>
    <w:qFormat/>
    <w:uiPriority w:val="0"/>
    <w:rPr>
      <w:rFonts w:ascii="宋体" w:hAnsi="宋体"/>
      <w:kern w:val="2"/>
      <w:sz w:val="22"/>
      <w:szCs w:val="22"/>
    </w:rPr>
  </w:style>
  <w:style w:type="character" w:customStyle="1" w:styleId="28">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character" w:customStyle="1" w:styleId="29">
    <w:name w:val="批注文字 字符"/>
    <w:basedOn w:val="18"/>
    <w:link w:val="5"/>
    <w:qFormat/>
    <w:uiPriority w:val="0"/>
    <w:rPr>
      <w:kern w:val="2"/>
      <w:sz w:val="21"/>
      <w:szCs w:val="22"/>
    </w:rPr>
  </w:style>
  <w:style w:type="character" w:customStyle="1" w:styleId="30">
    <w:name w:val="批注主题 字符"/>
    <w:basedOn w:val="29"/>
    <w:link w:val="14"/>
    <w:qFormat/>
    <w:uiPriority w:val="0"/>
    <w:rPr>
      <w:b/>
      <w:bCs/>
      <w:kern w:val="2"/>
      <w:sz w:val="21"/>
      <w:szCs w:val="22"/>
    </w:rPr>
  </w:style>
  <w:style w:type="character" w:customStyle="1" w:styleId="31">
    <w:name w:val="文档结构图 字符"/>
    <w:basedOn w:val="18"/>
    <w:link w:val="4"/>
    <w:qFormat/>
    <w:uiPriority w:val="0"/>
    <w:rPr>
      <w:rFonts w:ascii="宋体"/>
      <w:kern w:val="2"/>
      <w:sz w:val="18"/>
      <w:szCs w:val="18"/>
    </w:rPr>
  </w:style>
  <w:style w:type="character" w:customStyle="1" w:styleId="32">
    <w:name w:val="日期 字符"/>
    <w:basedOn w:val="18"/>
    <w:link w:val="9"/>
    <w:qFormat/>
    <w:uiPriority w:val="0"/>
    <w:rPr>
      <w:kern w:val="2"/>
      <w:sz w:val="21"/>
      <w:szCs w:val="22"/>
    </w:rPr>
  </w:style>
  <w:style w:type="paragraph" w:customStyle="1" w:styleId="33">
    <w:name w:val="Style1"/>
    <w:basedOn w:val="7"/>
    <w:qFormat/>
    <w:uiPriority w:val="0"/>
    <w:pPr>
      <w:widowControl/>
      <w:spacing w:after="0" w:line="360" w:lineRule="exact"/>
      <w:ind w:left="0" w:leftChars="0"/>
    </w:pPr>
    <w:rPr>
      <w:rFonts w:ascii="宋体" w:hAnsi="宋体"/>
      <w:kern w:val="0"/>
      <w:sz w:val="24"/>
      <w:szCs w:val="24"/>
    </w:rPr>
  </w:style>
  <w:style w:type="character" w:customStyle="1" w:styleId="34">
    <w:name w:val="正文文本缩进 字符"/>
    <w:basedOn w:val="18"/>
    <w:link w:val="7"/>
    <w:semiHidden/>
    <w:qFormat/>
    <w:uiPriority w:val="0"/>
    <w:rPr>
      <w:kern w:val="2"/>
      <w:sz w:val="21"/>
      <w:szCs w:val="22"/>
    </w:rPr>
  </w:style>
  <w:style w:type="character" w:customStyle="1" w:styleId="35">
    <w:name w:val="纯文本 字符"/>
    <w:basedOn w:val="18"/>
    <w:link w:val="8"/>
    <w:qFormat/>
    <w:uiPriority w:val="99"/>
    <w:rPr>
      <w:rFonts w:ascii="宋体" w:hAnsi="Courier New"/>
      <w:kern w:val="2"/>
      <w:sz w:val="21"/>
      <w:szCs w:val="21"/>
    </w:rPr>
  </w:style>
  <w:style w:type="character" w:customStyle="1" w:styleId="36">
    <w:name w:val="页眉 字符"/>
    <w:basedOn w:val="18"/>
    <w:link w:val="12"/>
    <w:qFormat/>
    <w:uiPriority w:val="99"/>
    <w:rPr>
      <w:kern w:val="2"/>
      <w:sz w:val="18"/>
      <w:szCs w:val="22"/>
    </w:rPr>
  </w:style>
  <w:style w:type="character" w:customStyle="1" w:styleId="37">
    <w:name w:val="页脚 字符"/>
    <w:basedOn w:val="18"/>
    <w:link w:val="11"/>
    <w:qFormat/>
    <w:uiPriority w:val="99"/>
    <w:rPr>
      <w:kern w:val="2"/>
      <w:sz w:val="18"/>
      <w:szCs w:val="22"/>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9">
    <w:name w:val="标题 2 字符"/>
    <w:basedOn w:val="18"/>
    <w:link w:val="3"/>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1740</Words>
  <Characters>9924</Characters>
  <Lines>82</Lines>
  <Paragraphs>23</Paragraphs>
  <TotalTime>1498</TotalTime>
  <ScaleCrop>false</ScaleCrop>
  <LinksUpToDate>false</LinksUpToDate>
  <CharactersWithSpaces>11641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2022-04-22T02:17:00Z</dcterms:created>
  <dc:creator>刘嫄嫄</dc:creator>
  <cp:lastModifiedBy>pc29</cp:lastModifiedBy>
  <cp:lastPrinted>2021-01-06T07:28:00Z</cp:lastPrinted>
  <dcterms:modified xsi:type="dcterms:W3CDTF">2022-05-17T08:36:41Z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FF82BBB0B1A24E4F88DF6290F5877E0C</vt:lpwstr>
  </property>
</Properties>
</file>