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bookmarkStart w:id="4" w:name="_GoBack"/>
      <w:bookmarkEnd w:id="4"/>
    </w:p>
    <w:tbl>
      <w:tblPr>
        <w:tblStyle w:val="15"/>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Pr>
          <w:p>
            <w:pPr>
              <w:snapToGrid w:val="0"/>
              <w:spacing w:before="156" w:beforeLines="50" w:line="360" w:lineRule="auto"/>
              <w:jc w:val="center"/>
              <w:rPr>
                <w:rFonts w:asciiTheme="minorEastAsia" w:hAnsiTheme="minorEastAsia" w:eastAsiaTheme="minorEastAsia"/>
                <w:b/>
                <w:sz w:val="28"/>
                <w:szCs w:val="28"/>
              </w:rPr>
            </w:pPr>
          </w:p>
        </w:tc>
      </w:tr>
      <w:tr>
        <w:tblPrEx>
          <w:tblCellMar>
            <w:top w:w="0" w:type="dxa"/>
            <w:left w:w="108" w:type="dxa"/>
            <w:bottom w:w="0" w:type="dxa"/>
            <w:right w:w="108" w:type="dxa"/>
          </w:tblCellMar>
        </w:tblPrEx>
        <w:tc>
          <w:tcPr>
            <w:tcW w:w="8522" w:type="dxa"/>
          </w:tcPr>
          <w:p>
            <w:pPr>
              <w:snapToGrid w:val="0"/>
              <w:spacing w:before="156" w:beforeLines="50" w:line="360" w:lineRule="auto"/>
              <w:jc w:val="center"/>
              <w:rPr>
                <w:rFonts w:asciiTheme="minorEastAsia" w:hAnsiTheme="minorEastAsia" w:eastAsiaTheme="minorEastAsia"/>
                <w:b/>
                <w:sz w:val="28"/>
                <w:szCs w:val="28"/>
              </w:rPr>
            </w:pPr>
          </w:p>
          <w:p>
            <w:pPr>
              <w:jc w:val="center"/>
              <w:rPr>
                <w:rFonts w:asciiTheme="minorEastAsia" w:hAnsiTheme="minorEastAsia" w:eastAsiaTheme="minorEastAsia"/>
                <w:b/>
              </w:rPr>
            </w:pPr>
          </w:p>
          <w:p>
            <w:pPr>
              <w:jc w:val="center"/>
              <w:rPr>
                <w:rFonts w:asciiTheme="minorEastAsia" w:hAnsiTheme="minorEastAsia" w:eastAsiaTheme="minorEastAsia"/>
                <w:b/>
              </w:rPr>
            </w:pPr>
          </w:p>
          <w:p>
            <w:pPr>
              <w:jc w:val="center"/>
              <w:rPr>
                <w:rFonts w:asciiTheme="minorEastAsia" w:hAnsiTheme="minorEastAsia" w:eastAsiaTheme="minorEastAsia"/>
                <w:b/>
              </w:rPr>
            </w:pPr>
          </w:p>
          <w:p>
            <w:pPr>
              <w:snapToGrid w:val="0"/>
              <w:spacing w:before="156" w:beforeLines="50" w:line="360" w:lineRule="auto"/>
              <w:ind w:firstLine="1405" w:firstLineChars="500"/>
              <w:rPr>
                <w:rFonts w:asciiTheme="minorEastAsia" w:hAnsiTheme="minorEastAsia" w:eastAsiaTheme="minorEastAsia"/>
                <w:b/>
                <w:sz w:val="28"/>
                <w:szCs w:val="28"/>
              </w:rPr>
            </w:pPr>
            <w:r>
              <w:rPr>
                <w:rFonts w:hint="eastAsia" w:asciiTheme="minorEastAsia" w:hAnsiTheme="minorEastAsia" w:eastAsiaTheme="minorEastAsia"/>
                <w:b/>
                <w:sz w:val="28"/>
                <w:szCs w:val="28"/>
              </w:rPr>
              <w:t>湖北省知识产权局202</w:t>
            </w:r>
            <w:r>
              <w:rPr>
                <w:rFonts w:asciiTheme="minorEastAsia" w:hAnsiTheme="minorEastAsia" w:eastAsiaTheme="minorEastAsia"/>
                <w:b/>
                <w:sz w:val="28"/>
                <w:szCs w:val="28"/>
              </w:rPr>
              <w:t>1</w:t>
            </w:r>
            <w:r>
              <w:rPr>
                <w:rFonts w:hint="eastAsia" w:asciiTheme="minorEastAsia" w:hAnsiTheme="minorEastAsia" w:eastAsiaTheme="minorEastAsia"/>
                <w:b/>
                <w:sz w:val="28"/>
                <w:szCs w:val="28"/>
              </w:rPr>
              <w:t>年度“三大工程”项目</w:t>
            </w:r>
          </w:p>
          <w:p>
            <w:pPr>
              <w:snapToGrid w:val="0"/>
              <w:spacing w:before="156" w:beforeLines="50" w:line="360" w:lineRule="auto"/>
              <w:ind w:firstLine="3373" w:firstLineChars="1200"/>
              <w:rPr>
                <w:rFonts w:asciiTheme="minorEastAsia" w:hAnsiTheme="minorEastAsia" w:eastAsiaTheme="minorEastAsia"/>
                <w:b/>
                <w:sz w:val="28"/>
                <w:szCs w:val="28"/>
              </w:rPr>
            </w:pPr>
            <w:r>
              <w:rPr>
                <w:rFonts w:hint="eastAsia" w:asciiTheme="minorEastAsia" w:hAnsiTheme="minorEastAsia" w:eastAsiaTheme="minorEastAsia"/>
                <w:b/>
                <w:sz w:val="28"/>
                <w:szCs w:val="28"/>
              </w:rPr>
              <w:t>绩效评价报告</w:t>
            </w:r>
          </w:p>
          <w:p>
            <w:pPr>
              <w:jc w:val="center"/>
              <w:rPr>
                <w:rFonts w:asciiTheme="minorEastAsia" w:hAnsiTheme="minorEastAsia" w:eastAsiaTheme="minorEastAsia"/>
                <w:b/>
              </w:rPr>
            </w:pPr>
          </w:p>
          <w:p>
            <w:pPr>
              <w:jc w:val="center"/>
              <w:rPr>
                <w:rFonts w:asciiTheme="minorEastAsia" w:hAnsiTheme="minorEastAsia" w:eastAsiaTheme="minorEastAsia"/>
                <w:b/>
              </w:rPr>
            </w:pPr>
          </w:p>
          <w:p>
            <w:pPr>
              <w:jc w:val="center"/>
              <w:rPr>
                <w:rFonts w:asciiTheme="minorEastAsia" w:hAnsiTheme="minorEastAsia" w:eastAsiaTheme="minorEastAsia"/>
                <w:b/>
              </w:rPr>
            </w:pPr>
          </w:p>
          <w:p>
            <w:pPr>
              <w:jc w:val="center"/>
              <w:rPr>
                <w:rFonts w:asciiTheme="minorEastAsia" w:hAnsiTheme="minorEastAsia" w:eastAsiaTheme="minorEastAsia"/>
                <w:b/>
              </w:rPr>
            </w:pPr>
          </w:p>
          <w:p>
            <w:pPr>
              <w:jc w:val="center"/>
              <w:rPr>
                <w:rFonts w:asciiTheme="minorEastAsia" w:hAnsiTheme="minorEastAsia" w:eastAsiaTheme="minorEastAsia"/>
                <w:b/>
              </w:rPr>
            </w:pPr>
          </w:p>
          <w:p>
            <w:pPr>
              <w:spacing w:line="3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tbl>
            <w:tblPr>
              <w:tblStyle w:val="15"/>
              <w:tblW w:w="0" w:type="auto"/>
              <w:jc w:val="center"/>
              <w:tblLayout w:type="fixed"/>
              <w:tblCellMar>
                <w:top w:w="0" w:type="dxa"/>
                <w:left w:w="108" w:type="dxa"/>
                <w:bottom w:w="0" w:type="dxa"/>
                <w:right w:w="108" w:type="dxa"/>
              </w:tblCellMar>
            </w:tblPr>
            <w:tblGrid>
              <w:gridCol w:w="5760"/>
              <w:gridCol w:w="1440"/>
            </w:tblGrid>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索引</w:t>
                  </w:r>
                </w:p>
              </w:tc>
              <w:tc>
                <w:tcPr>
                  <w:tcW w:w="1440" w:type="dxa"/>
                </w:tcPr>
                <w:p>
                  <w:pPr>
                    <w:spacing w:line="360" w:lineRule="auto"/>
                    <w:ind w:right="265" w:rightChars="126"/>
                    <w:jc w:val="right"/>
                    <w:rPr>
                      <w:rFonts w:asciiTheme="minorEastAsia" w:hAnsiTheme="minorEastAsia" w:eastAsiaTheme="minorEastAsia"/>
                      <w:b/>
                      <w:sz w:val="24"/>
                      <w:szCs w:val="24"/>
                    </w:rPr>
                  </w:pPr>
                  <w:r>
                    <w:rPr>
                      <w:rFonts w:hint="eastAsia" w:asciiTheme="minorEastAsia" w:hAnsiTheme="minorEastAsia" w:eastAsiaTheme="minorEastAsia"/>
                      <w:b/>
                      <w:sz w:val="24"/>
                      <w:szCs w:val="24"/>
                    </w:rPr>
                    <w:t>页码</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一、项目基本情况</w:t>
                  </w:r>
                </w:p>
              </w:tc>
              <w:tc>
                <w:tcPr>
                  <w:tcW w:w="1440" w:type="dxa"/>
                  <w:shd w:val="clear" w:color="auto" w:fill="auto"/>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3</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二、绩效评价工作情况</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4</w:t>
                  </w:r>
                </w:p>
              </w:tc>
            </w:tr>
            <w:tr>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三、项目实施情况及绩效目标完成情况</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6</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四、存在的问题</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11</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五、相关建议</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12</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六、绩效评价结果应用</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13</w:t>
                  </w:r>
                </w:p>
              </w:tc>
            </w:tr>
            <w:tr>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七、主要经验及做法</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13</w:t>
                  </w:r>
                </w:p>
              </w:tc>
            </w:tr>
            <w:tr>
              <w:tblPrEx>
                <w:tblCellMar>
                  <w:top w:w="0" w:type="dxa"/>
                  <w:left w:w="108" w:type="dxa"/>
                  <w:bottom w:w="0" w:type="dxa"/>
                  <w:right w:w="108" w:type="dxa"/>
                </w:tblCellMar>
              </w:tblPrEx>
              <w:trPr>
                <w:jc w:val="center"/>
              </w:trPr>
              <w:tc>
                <w:tcPr>
                  <w:tcW w:w="57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八、其他需要说明的情况</w:t>
                  </w:r>
                </w:p>
              </w:tc>
              <w:tc>
                <w:tcPr>
                  <w:tcW w:w="1440" w:type="dxa"/>
                </w:tcPr>
                <w:p>
                  <w:pPr>
                    <w:spacing w:line="360" w:lineRule="auto"/>
                    <w:ind w:right="265" w:rightChars="126"/>
                    <w:jc w:val="right"/>
                    <w:rPr>
                      <w:rFonts w:asciiTheme="minorEastAsia" w:hAnsiTheme="minorEastAsia" w:eastAsiaTheme="minorEastAsia"/>
                      <w:sz w:val="24"/>
                      <w:szCs w:val="24"/>
                    </w:rPr>
                  </w:pPr>
                  <w:r>
                    <w:rPr>
                      <w:rFonts w:asciiTheme="minorEastAsia" w:hAnsiTheme="minorEastAsia" w:eastAsiaTheme="minorEastAsia"/>
                      <w:sz w:val="24"/>
                      <w:szCs w:val="24"/>
                    </w:rPr>
                    <w:t>14</w:t>
                  </w:r>
                </w:p>
              </w:tc>
            </w:tr>
          </w:tbl>
          <w:p>
            <w:pPr>
              <w:rPr>
                <w:rFonts w:asciiTheme="minorEastAsia" w:hAnsiTheme="minorEastAsia" w:eastAsiaTheme="minorEastAsia"/>
              </w:rPr>
            </w:pPr>
          </w:p>
          <w:p>
            <w:pPr>
              <w:snapToGrid w:val="0"/>
              <w:spacing w:before="156" w:beforeLines="50" w:line="360" w:lineRule="auto"/>
              <w:rPr>
                <w:rFonts w:asciiTheme="minorEastAsia" w:hAnsiTheme="minorEastAsia" w:eastAsiaTheme="minorEastAsia"/>
                <w:b/>
                <w:sz w:val="28"/>
                <w:szCs w:val="28"/>
              </w:rPr>
            </w:pP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widowControl/>
        <w:jc w:val="left"/>
        <w:rPr>
          <w:rFonts w:asciiTheme="minorEastAsia" w:hAnsiTheme="minorEastAsia" w:eastAsiaTheme="minorEastAsia"/>
        </w:rPr>
        <w:sectPr>
          <w:footerReference r:id="rId3" w:type="default"/>
          <w:pgSz w:w="11909" w:h="16834"/>
          <w:pgMar w:top="1418" w:right="1701" w:bottom="1418" w:left="1701" w:header="851" w:footer="851" w:gutter="0"/>
          <w:pgNumType w:start="1"/>
          <w:cols w:space="720" w:num="1"/>
          <w:formProt w:val="0"/>
          <w:docGrid w:type="lines" w:linePitch="312" w:charSpace="0"/>
        </w:sectPr>
      </w:pPr>
    </w:p>
    <w:p>
      <w:pPr>
        <w:widowControl/>
        <w:jc w:val="left"/>
        <w:rPr>
          <w:rFonts w:asciiTheme="minorEastAsia" w:hAnsiTheme="minorEastAsia" w:eastAsiaTheme="minorEastAsia"/>
        </w:rPr>
      </w:pPr>
    </w:p>
    <w:tbl>
      <w:tblPr>
        <w:tblStyle w:val="15"/>
        <w:tblpPr w:leftFromText="180" w:rightFromText="180" w:vertAnchor="text" w:horzAnchor="margin" w:tblpXSpec="center" w:tblpY="-77"/>
        <w:tblOverlap w:val="never"/>
        <w:tblW w:w="8983" w:type="dxa"/>
        <w:jc w:val="center"/>
        <w:tblLayout w:type="fixed"/>
        <w:tblCellMar>
          <w:top w:w="15" w:type="dxa"/>
          <w:left w:w="15" w:type="dxa"/>
          <w:bottom w:w="15" w:type="dxa"/>
          <w:right w:w="15" w:type="dxa"/>
        </w:tblCellMar>
      </w:tblPr>
      <w:tblGrid>
        <w:gridCol w:w="1560"/>
        <w:gridCol w:w="2409"/>
        <w:gridCol w:w="2268"/>
        <w:gridCol w:w="1418"/>
        <w:gridCol w:w="1328"/>
      </w:tblGrid>
      <w:tr>
        <w:tblPrEx>
          <w:tblCellMar>
            <w:top w:w="15" w:type="dxa"/>
            <w:left w:w="15" w:type="dxa"/>
            <w:bottom w:w="15" w:type="dxa"/>
            <w:right w:w="15" w:type="dxa"/>
          </w:tblCellMar>
        </w:tblPrEx>
        <w:trPr>
          <w:trHeight w:val="510" w:hRule="atLeast"/>
          <w:jc w:val="center"/>
        </w:trPr>
        <w:tc>
          <w:tcPr>
            <w:tcW w:w="8983" w:type="dxa"/>
            <w:gridSpan w:val="5"/>
            <w:shd w:val="clear" w:color="auto" w:fill="auto"/>
            <w:vAlign w:val="center"/>
          </w:tcPr>
          <w:p>
            <w:pPr>
              <w:widowControl/>
              <w:jc w:val="center"/>
              <w:textAlignment w:val="center"/>
              <w:rPr>
                <w:rFonts w:ascii="宋体" w:hAnsi="宋体" w:cs="黑体"/>
                <w:b/>
                <w:sz w:val="20"/>
                <w:szCs w:val="20"/>
              </w:rPr>
            </w:pPr>
            <w:r>
              <w:rPr>
                <w:rFonts w:hint="eastAsia" w:ascii="宋体" w:hAnsi="宋体" w:cs="黑体"/>
                <w:b/>
                <w:kern w:val="0"/>
                <w:sz w:val="36"/>
                <w:szCs w:val="20"/>
              </w:rPr>
              <w:t>概   要</w:t>
            </w:r>
          </w:p>
        </w:tc>
      </w:tr>
      <w:tr>
        <w:tblPrEx>
          <w:tblCellMar>
            <w:top w:w="15" w:type="dxa"/>
            <w:left w:w="15" w:type="dxa"/>
            <w:bottom w:w="15" w:type="dxa"/>
            <w:right w:w="15" w:type="dxa"/>
          </w:tblCellMar>
        </w:tblPrEx>
        <w:trPr>
          <w:trHeight w:val="51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sz w:val="22"/>
              </w:rPr>
            </w:pPr>
            <w:r>
              <w:rPr>
                <w:rFonts w:hint="eastAsia" w:ascii="宋体" w:hAnsi="宋体" w:cs="黑体"/>
                <w:kern w:val="0"/>
                <w:sz w:val="22"/>
              </w:rPr>
              <w:t>项目名称</w:t>
            </w:r>
          </w:p>
        </w:tc>
        <w:tc>
          <w:tcPr>
            <w:tcW w:w="4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s="仿宋_GB2312"/>
                <w:sz w:val="22"/>
              </w:rPr>
              <w:t>湖北省知识产权局2</w:t>
            </w:r>
            <w:r>
              <w:rPr>
                <w:rFonts w:ascii="宋体" w:hAnsi="宋体" w:cs="仿宋_GB2312"/>
                <w:sz w:val="22"/>
              </w:rPr>
              <w:t>021</w:t>
            </w:r>
            <w:r>
              <w:rPr>
                <w:rFonts w:hint="eastAsia" w:ascii="宋体" w:hAnsi="宋体" w:cs="仿宋_GB2312"/>
                <w:sz w:val="22"/>
              </w:rPr>
              <w:t>年度“三大工程”项目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sz w:val="22"/>
              </w:rPr>
            </w:pPr>
            <w:r>
              <w:rPr>
                <w:rFonts w:hint="eastAsia" w:ascii="宋体" w:hAnsi="宋体" w:cs="黑体"/>
                <w:kern w:val="0"/>
                <w:sz w:val="22"/>
              </w:rPr>
              <w:t>评价年度</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s="仿宋_GB2312"/>
                <w:sz w:val="22"/>
              </w:rPr>
              <w:t>2</w:t>
            </w:r>
            <w:r>
              <w:rPr>
                <w:rFonts w:ascii="宋体" w:hAnsi="宋体" w:cs="仿宋_GB2312"/>
                <w:sz w:val="22"/>
              </w:rPr>
              <w:t>021</w:t>
            </w:r>
            <w:r>
              <w:rPr>
                <w:rFonts w:hint="eastAsia" w:ascii="宋体" w:hAnsi="宋体" w:cs="仿宋_GB2312"/>
                <w:sz w:val="22"/>
              </w:rPr>
              <w:t>年度</w:t>
            </w:r>
          </w:p>
        </w:tc>
      </w:tr>
      <w:tr>
        <w:tblPrEx>
          <w:tblCellMar>
            <w:top w:w="15" w:type="dxa"/>
            <w:left w:w="15" w:type="dxa"/>
            <w:bottom w:w="15" w:type="dxa"/>
            <w:right w:w="15" w:type="dxa"/>
          </w:tblCellMar>
        </w:tblPrEx>
        <w:trPr>
          <w:trHeight w:val="51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kern w:val="0"/>
                <w:sz w:val="22"/>
              </w:rPr>
            </w:pPr>
            <w:r>
              <w:rPr>
                <w:rFonts w:hint="eastAsia" w:ascii="宋体" w:hAnsi="宋体" w:cs="黑体"/>
                <w:sz w:val="22"/>
              </w:rPr>
              <w:t>评价机构</w:t>
            </w:r>
          </w:p>
        </w:tc>
        <w:tc>
          <w:tcPr>
            <w:tcW w:w="4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szCs w:val="21"/>
              </w:rPr>
              <w:t>信永中和会计师事务所（特殊普通合伙）武汉分所</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kern w:val="0"/>
                <w:sz w:val="22"/>
              </w:rPr>
            </w:pPr>
            <w:r>
              <w:rPr>
                <w:rFonts w:hint="eastAsia" w:ascii="宋体" w:hAnsi="宋体" w:cs="黑体"/>
                <w:kern w:val="0"/>
                <w:sz w:val="22"/>
              </w:rPr>
              <w:t>预算金额</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olor w:val="000000"/>
                <w:sz w:val="22"/>
              </w:rPr>
              <w:t>2190万元</w:t>
            </w:r>
          </w:p>
        </w:tc>
      </w:tr>
      <w:tr>
        <w:tblPrEx>
          <w:tblCellMar>
            <w:top w:w="15" w:type="dxa"/>
            <w:left w:w="15" w:type="dxa"/>
            <w:bottom w:w="15" w:type="dxa"/>
            <w:right w:w="15" w:type="dxa"/>
          </w:tblCellMar>
        </w:tblPrEx>
        <w:trPr>
          <w:trHeight w:val="51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sz w:val="22"/>
              </w:rPr>
            </w:pPr>
            <w:r>
              <w:rPr>
                <w:rFonts w:hint="eastAsia" w:ascii="宋体" w:hAnsi="宋体" w:cs="黑体"/>
                <w:kern w:val="0"/>
                <w:sz w:val="22"/>
              </w:rPr>
              <w:t>评价分数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s="仿宋_GB2312"/>
                <w:sz w:val="22"/>
              </w:rPr>
              <w:t>8</w:t>
            </w:r>
            <w:r>
              <w:rPr>
                <w:rFonts w:ascii="宋体" w:hAnsi="宋体" w:cs="仿宋_GB2312"/>
                <w:sz w:val="22"/>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sz w:val="22"/>
              </w:rPr>
            </w:pPr>
            <w:r>
              <w:rPr>
                <w:rFonts w:hint="eastAsia" w:ascii="宋体" w:hAnsi="宋体" w:cs="黑体"/>
                <w:sz w:val="22"/>
              </w:rPr>
              <w:t>评价等级</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 w:val="22"/>
              </w:rPr>
            </w:pPr>
            <w:r>
              <w:rPr>
                <w:rFonts w:hint="eastAsia" w:ascii="宋体" w:hAnsi="宋体" w:cs="仿宋_GB2312"/>
                <w:sz w:val="22"/>
              </w:rPr>
              <w:t>良</w:t>
            </w:r>
          </w:p>
        </w:tc>
      </w:tr>
      <w:tr>
        <w:tblPrEx>
          <w:tblCellMar>
            <w:top w:w="15" w:type="dxa"/>
            <w:left w:w="15" w:type="dxa"/>
            <w:bottom w:w="15" w:type="dxa"/>
            <w:right w:w="15" w:type="dxa"/>
          </w:tblCellMar>
        </w:tblPrEx>
        <w:trPr>
          <w:trHeight w:val="399" w:hRule="atLeast"/>
          <w:jc w:val="center"/>
        </w:trPr>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textAlignment w:val="center"/>
              <w:rPr>
                <w:rFonts w:ascii="宋体" w:hAnsi="宋体" w:cs="黑体"/>
                <w:kern w:val="0"/>
                <w:sz w:val="22"/>
              </w:rPr>
            </w:pPr>
            <w:r>
              <w:rPr>
                <w:rFonts w:hint="eastAsia" w:ascii="宋体" w:hAnsi="宋体" w:cs="黑体"/>
                <w:kern w:val="0"/>
                <w:sz w:val="22"/>
              </w:rPr>
              <w:t>有效调查问卷</w:t>
            </w:r>
          </w:p>
        </w:tc>
        <w:tc>
          <w:tcPr>
            <w:tcW w:w="240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仿宋_GB2312"/>
                <w:kern w:val="0"/>
                <w:sz w:val="22"/>
              </w:rPr>
            </w:pPr>
            <w:r>
              <w:rPr>
                <w:rFonts w:hint="eastAsia" w:ascii="宋体" w:hAnsi="宋体" w:cs="仿宋_GB2312"/>
                <w:kern w:val="0"/>
                <w:sz w:val="22"/>
              </w:rPr>
              <w:t>1</w:t>
            </w:r>
            <w:r>
              <w:rPr>
                <w:rFonts w:ascii="宋体" w:hAnsi="宋体" w:cs="仿宋_GB2312"/>
                <w:kern w:val="0"/>
                <w:sz w:val="22"/>
              </w:rPr>
              <w:t>63</w:t>
            </w:r>
          </w:p>
        </w:tc>
        <w:tc>
          <w:tcPr>
            <w:tcW w:w="226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黑体"/>
                <w:kern w:val="0"/>
                <w:sz w:val="22"/>
              </w:rPr>
            </w:pPr>
            <w:r>
              <w:rPr>
                <w:rFonts w:hint="eastAsia" w:ascii="宋体" w:hAnsi="宋体" w:cs="黑体"/>
                <w:kern w:val="0"/>
                <w:sz w:val="22"/>
              </w:rPr>
              <w:t>满意度情况</w:t>
            </w:r>
          </w:p>
        </w:tc>
        <w:tc>
          <w:tcPr>
            <w:tcW w:w="274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仿宋_GB2312"/>
                <w:kern w:val="0"/>
                <w:sz w:val="22"/>
              </w:rPr>
            </w:pPr>
            <w:r>
              <w:rPr>
                <w:rFonts w:hint="eastAsia" w:ascii="宋体" w:hAnsi="宋体" w:cs="仿宋_GB2312"/>
                <w:kern w:val="0"/>
                <w:sz w:val="22"/>
              </w:rPr>
              <w:t>9</w:t>
            </w:r>
            <w:r>
              <w:rPr>
                <w:rFonts w:ascii="宋体" w:hAnsi="宋体" w:cs="仿宋_GB2312"/>
                <w:kern w:val="0"/>
                <w:sz w:val="22"/>
              </w:rPr>
              <w:t>6.83%</w:t>
            </w:r>
          </w:p>
        </w:tc>
      </w:tr>
      <w:tr>
        <w:tblPrEx>
          <w:tblCellMar>
            <w:top w:w="15" w:type="dxa"/>
            <w:left w:w="15" w:type="dxa"/>
            <w:bottom w:w="15" w:type="dxa"/>
            <w:right w:w="15" w:type="dxa"/>
          </w:tblCellMar>
        </w:tblPrEx>
        <w:trPr>
          <w:trHeight w:val="1962" w:hRule="atLeast"/>
          <w:jc w:val="center"/>
        </w:trPr>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黑体"/>
                <w:kern w:val="0"/>
                <w:sz w:val="22"/>
              </w:rPr>
            </w:pPr>
            <w:r>
              <w:rPr>
                <w:rFonts w:hint="eastAsia" w:ascii="宋体" w:hAnsi="宋体" w:cs="黑体"/>
                <w:kern w:val="0"/>
                <w:sz w:val="22"/>
              </w:rPr>
              <w:t>绩效目标</w:t>
            </w:r>
          </w:p>
          <w:p>
            <w:pPr>
              <w:widowControl/>
              <w:spacing w:line="320" w:lineRule="exact"/>
              <w:jc w:val="center"/>
              <w:textAlignment w:val="center"/>
              <w:rPr>
                <w:rFonts w:ascii="宋体" w:hAnsi="宋体" w:cs="黑体"/>
                <w:sz w:val="22"/>
              </w:rPr>
            </w:pPr>
            <w:r>
              <w:rPr>
                <w:rFonts w:hint="eastAsia" w:ascii="宋体" w:hAnsi="宋体" w:cs="黑体"/>
                <w:kern w:val="0"/>
                <w:sz w:val="22"/>
              </w:rPr>
              <w:t>实现情况</w:t>
            </w:r>
          </w:p>
        </w:tc>
        <w:tc>
          <w:tcPr>
            <w:tcW w:w="7423"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firstLineChars="200"/>
              <w:jc w:val="left"/>
              <w:textAlignment w:val="center"/>
              <w:rPr>
                <w:rFonts w:ascii="宋体" w:hAnsi="宋体" w:cs="仿宋_GB2312"/>
                <w:sz w:val="22"/>
              </w:rPr>
            </w:pPr>
            <w:r>
              <w:rPr>
                <w:rFonts w:hint="eastAsia" w:ascii="宋体" w:hAnsi="宋体" w:cs="仿宋_GB2312"/>
                <w:sz w:val="22"/>
              </w:rPr>
              <w:t>本次绩效评价分别从项目决策、项目管理、项目绩效</w:t>
            </w:r>
            <w:r>
              <w:rPr>
                <w:rFonts w:ascii="宋体" w:hAnsi="宋体" w:cs="仿宋_GB2312"/>
                <w:sz w:val="22"/>
              </w:rPr>
              <w:t>3</w:t>
            </w:r>
            <w:r>
              <w:rPr>
                <w:rFonts w:hint="eastAsia" w:ascii="宋体" w:hAnsi="宋体" w:cs="仿宋_GB2312"/>
                <w:sz w:val="22"/>
              </w:rPr>
              <w:t>个维度对项目进行评价，最终评定综合得分为</w:t>
            </w:r>
            <w:r>
              <w:rPr>
                <w:rFonts w:ascii="宋体" w:hAnsi="宋体" w:cs="仿宋_GB2312"/>
                <w:sz w:val="22"/>
              </w:rPr>
              <w:t>87</w:t>
            </w:r>
            <w:r>
              <w:rPr>
                <w:rFonts w:hint="eastAsia" w:ascii="宋体" w:hAnsi="宋体" w:cs="仿宋_GB2312"/>
                <w:sz w:val="22"/>
              </w:rPr>
              <w:t>分，评价等级为“良”。从绩效评价的得分情况来看，通过“三大工程”的实施，引导培育了更多高价值核心专利、促进了知识产权运用、加强完善了海外知识产权领域的建设。但在项目在实施过程中，在项目管理、预算及绩效管理方面仍需要进一步加强和完善。</w:t>
            </w:r>
          </w:p>
        </w:tc>
      </w:tr>
      <w:tr>
        <w:tblPrEx>
          <w:tblCellMar>
            <w:top w:w="15" w:type="dxa"/>
            <w:left w:w="15" w:type="dxa"/>
            <w:bottom w:w="15" w:type="dxa"/>
            <w:right w:w="15" w:type="dxa"/>
          </w:tblCellMar>
        </w:tblPrEx>
        <w:trPr>
          <w:trHeight w:val="2581"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宋体" w:hAnsi="宋体" w:cs="黑体"/>
                <w:kern w:val="0"/>
                <w:sz w:val="22"/>
              </w:rPr>
            </w:pPr>
            <w:r>
              <w:rPr>
                <w:rFonts w:hint="eastAsia" w:ascii="宋体" w:hAnsi="宋体" w:cs="黑体"/>
                <w:kern w:val="0"/>
                <w:sz w:val="22"/>
              </w:rPr>
              <w:t>评价问题</w:t>
            </w:r>
          </w:p>
          <w:p>
            <w:pPr>
              <w:widowControl/>
              <w:spacing w:line="320" w:lineRule="exact"/>
              <w:jc w:val="center"/>
              <w:textAlignment w:val="center"/>
              <w:rPr>
                <w:rFonts w:ascii="宋体" w:hAnsi="宋体" w:cs="黑体"/>
                <w:sz w:val="22"/>
              </w:rPr>
            </w:pPr>
            <w:r>
              <w:rPr>
                <w:rFonts w:hint="eastAsia" w:ascii="宋体" w:hAnsi="宋体" w:cs="黑体"/>
                <w:kern w:val="0"/>
                <w:sz w:val="22"/>
              </w:rPr>
              <w:t>简要情况</w:t>
            </w:r>
          </w:p>
        </w:tc>
        <w:tc>
          <w:tcPr>
            <w:tcW w:w="7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宋体" w:hAnsi="宋体" w:cs="仿宋_GB2312"/>
                <w:sz w:val="22"/>
              </w:rPr>
            </w:pPr>
            <w:r>
              <w:rPr>
                <w:rFonts w:hint="eastAsia" w:ascii="宋体" w:hAnsi="宋体" w:cs="仿宋_GB2312"/>
                <w:sz w:val="22"/>
              </w:rPr>
              <w:t>（一）项目管理方面。项目管理方面有待进一步细化，应将各类项目申报资格条件、奖补发放标准、发放时间、验收条件、奖补资金使用范围等予以细化，规范项目管理和提高财政资金使用效率。</w:t>
            </w:r>
          </w:p>
          <w:p>
            <w:pPr>
              <w:widowControl/>
              <w:spacing w:line="320" w:lineRule="exact"/>
              <w:jc w:val="left"/>
              <w:textAlignment w:val="center"/>
              <w:rPr>
                <w:rFonts w:ascii="宋体" w:hAnsi="宋体" w:cs="仿宋_GB2312"/>
                <w:sz w:val="22"/>
              </w:rPr>
            </w:pPr>
            <w:r>
              <w:rPr>
                <w:rFonts w:hint="eastAsia" w:ascii="宋体" w:hAnsi="宋体" w:cs="仿宋_GB2312"/>
                <w:sz w:val="22"/>
              </w:rPr>
              <w:t>（二）绩效管理方面。绩效目标的设置不能清晰反应预算资金的预期产出和效果，设置的指标多为当年奖补的项目数，考核比较简单，质量不高。不能较好的反映专项资金的具体产出情况，无法有效评价项目实施效果。</w:t>
            </w:r>
          </w:p>
          <w:p>
            <w:pPr>
              <w:widowControl/>
              <w:spacing w:line="320" w:lineRule="exact"/>
              <w:jc w:val="left"/>
              <w:textAlignment w:val="center"/>
              <w:rPr>
                <w:rFonts w:ascii="宋体" w:hAnsi="宋体" w:cs="仿宋_GB2312"/>
                <w:sz w:val="22"/>
              </w:rPr>
            </w:pPr>
            <w:r>
              <w:rPr>
                <w:rFonts w:hint="eastAsia" w:ascii="宋体" w:hAnsi="宋体" w:cs="仿宋_GB2312"/>
                <w:sz w:val="22"/>
              </w:rPr>
              <w:t>（三）预算管理方面。预算编制不精确，预算执行不严格，子项目之间存在调剂。</w:t>
            </w:r>
          </w:p>
        </w:tc>
      </w:tr>
      <w:tr>
        <w:tblPrEx>
          <w:tblCellMar>
            <w:top w:w="15" w:type="dxa"/>
            <w:left w:w="15" w:type="dxa"/>
            <w:bottom w:w="15" w:type="dxa"/>
            <w:right w:w="15" w:type="dxa"/>
          </w:tblCellMar>
        </w:tblPrEx>
        <w:trPr>
          <w:trHeight w:val="2287" w:hRule="atLeast"/>
          <w:jc w:val="center"/>
        </w:trPr>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黑体"/>
                <w:kern w:val="0"/>
                <w:sz w:val="22"/>
              </w:rPr>
            </w:pPr>
            <w:r>
              <w:rPr>
                <w:rFonts w:hint="eastAsia" w:ascii="宋体" w:hAnsi="宋体" w:cs="黑体"/>
                <w:kern w:val="0"/>
                <w:sz w:val="22"/>
              </w:rPr>
              <w:t>评价问题</w:t>
            </w:r>
          </w:p>
          <w:p>
            <w:pPr>
              <w:widowControl/>
              <w:spacing w:line="320" w:lineRule="exact"/>
              <w:jc w:val="center"/>
              <w:textAlignment w:val="center"/>
              <w:rPr>
                <w:rFonts w:ascii="宋体" w:hAnsi="宋体" w:cs="黑体"/>
                <w:kern w:val="0"/>
                <w:sz w:val="22"/>
              </w:rPr>
            </w:pPr>
            <w:r>
              <w:rPr>
                <w:rFonts w:hint="eastAsia" w:ascii="宋体" w:hAnsi="宋体" w:cs="黑体"/>
                <w:kern w:val="0"/>
                <w:sz w:val="22"/>
              </w:rPr>
              <w:t>简要建议</w:t>
            </w:r>
          </w:p>
        </w:tc>
        <w:tc>
          <w:tcPr>
            <w:tcW w:w="7423"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sz w:val="22"/>
              </w:rPr>
            </w:pPr>
            <w:r>
              <w:rPr>
                <w:rFonts w:hint="eastAsia" w:ascii="宋体" w:hAnsi="宋体" w:cs="仿宋_GB2312"/>
                <w:sz w:val="22"/>
              </w:rPr>
              <w:t>（一）项目管理方面。完善奖补项目管理制度，保证奖补资金项目实施全过程的公平、公正、合法合规，切实提高资金使用效益。</w:t>
            </w:r>
          </w:p>
          <w:p>
            <w:pPr>
              <w:widowControl/>
              <w:spacing w:line="320" w:lineRule="exact"/>
              <w:jc w:val="left"/>
              <w:textAlignment w:val="center"/>
              <w:rPr>
                <w:rFonts w:ascii="宋体" w:hAnsi="宋体" w:cs="仿宋_GB2312"/>
                <w:sz w:val="22"/>
              </w:rPr>
            </w:pPr>
            <w:r>
              <w:rPr>
                <w:rFonts w:hint="eastAsia" w:ascii="宋体" w:hAnsi="宋体" w:cs="仿宋_GB2312"/>
                <w:sz w:val="22"/>
              </w:rPr>
              <w:t>（二）绩效管理方面。有序推进绩效指标体系建设，实现预算指标科学合理、细化量化，保证绩效指标关联性强、考核全面。</w:t>
            </w:r>
          </w:p>
          <w:p>
            <w:pPr>
              <w:widowControl/>
              <w:spacing w:line="320" w:lineRule="exact"/>
              <w:jc w:val="left"/>
              <w:textAlignment w:val="center"/>
              <w:rPr>
                <w:rFonts w:ascii="宋体" w:hAnsi="宋体" w:cs="仿宋_GB2312"/>
                <w:sz w:val="22"/>
              </w:rPr>
            </w:pPr>
            <w:r>
              <w:rPr>
                <w:rFonts w:hint="eastAsia" w:ascii="宋体" w:hAnsi="宋体" w:cs="仿宋_GB2312"/>
                <w:sz w:val="22"/>
              </w:rPr>
              <w:t>（三）预算管理方面。有序开展预算项目库建设，对所有预算支出实施项目化管理，推动预算精细化管理。</w:t>
            </w:r>
          </w:p>
        </w:tc>
      </w:tr>
      <w:tr>
        <w:tblPrEx>
          <w:tblCellMar>
            <w:top w:w="15" w:type="dxa"/>
            <w:left w:w="15" w:type="dxa"/>
            <w:bottom w:w="15" w:type="dxa"/>
            <w:right w:w="15" w:type="dxa"/>
          </w:tblCellMar>
        </w:tblPrEx>
        <w:trPr>
          <w:trHeight w:val="1889" w:hRule="atLeast"/>
          <w:jc w:val="center"/>
        </w:trPr>
        <w:tc>
          <w:tcPr>
            <w:tcW w:w="156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黑体"/>
                <w:sz w:val="22"/>
              </w:rPr>
            </w:pPr>
            <w:r>
              <w:rPr>
                <w:rFonts w:hint="eastAsia" w:ascii="宋体" w:hAnsi="宋体" w:cs="黑体"/>
                <w:sz w:val="22"/>
              </w:rPr>
              <w:t>评价结果</w:t>
            </w:r>
          </w:p>
          <w:p>
            <w:pPr>
              <w:widowControl/>
              <w:spacing w:line="320" w:lineRule="exact"/>
              <w:jc w:val="center"/>
              <w:textAlignment w:val="center"/>
              <w:rPr>
                <w:rFonts w:ascii="宋体" w:hAnsi="宋体" w:cs="黑体"/>
                <w:sz w:val="22"/>
              </w:rPr>
            </w:pPr>
            <w:r>
              <w:rPr>
                <w:rFonts w:hint="eastAsia" w:ascii="宋体" w:hAnsi="宋体" w:cs="黑体"/>
                <w:sz w:val="22"/>
              </w:rPr>
              <w:t>应用建议</w:t>
            </w:r>
          </w:p>
        </w:tc>
        <w:tc>
          <w:tcPr>
            <w:tcW w:w="7423"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firstLineChars="200"/>
              <w:jc w:val="left"/>
              <w:textAlignment w:val="center"/>
              <w:rPr>
                <w:rFonts w:ascii="宋体" w:hAnsi="宋体" w:cs="仿宋_GB2312"/>
                <w:sz w:val="22"/>
              </w:rPr>
            </w:pPr>
            <w:r>
              <w:rPr>
                <w:rFonts w:hint="eastAsia" w:ascii="宋体" w:hAnsi="宋体" w:cs="仿宋_GB2312"/>
                <w:sz w:val="22"/>
              </w:rPr>
              <w:t>对“三大工程”项目绩效目标实现程度和预算执行的监督管控，能够通过本报告发现2021年绩效目标未达成或目标制定明显不合理的情况，通过原因总结、分析，为项目预算安排、完善政策和改进管理提供重要依据。同时为以后年度提高预算编制精度、优化项目管控提供参考，切实提高项目管理和财政资金使用效率。</w:t>
            </w:r>
          </w:p>
        </w:tc>
      </w:tr>
    </w:tbl>
    <w:p>
      <w:pPr>
        <w:rPr>
          <w:rFonts w:asciiTheme="minorEastAsia" w:hAnsiTheme="minorEastAsia" w:eastAsiaTheme="minorEastAsia"/>
        </w:rPr>
      </w:pP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napToGrid w:val="0"/>
        <w:spacing w:before="156" w:beforeLines="50" w:line="360" w:lineRule="auto"/>
        <w:ind w:firstLine="562" w:firstLineChars="200"/>
        <w:jc w:val="center"/>
        <w:rPr>
          <w:rFonts w:asciiTheme="minorEastAsia" w:hAnsiTheme="minorEastAsia" w:eastAsiaTheme="minorEastAsia"/>
          <w:b/>
          <w:sz w:val="28"/>
          <w:szCs w:val="28"/>
        </w:rPr>
        <w:sectPr>
          <w:footerReference r:id="rId4" w:type="default"/>
          <w:pgSz w:w="11909" w:h="16834"/>
          <w:pgMar w:top="1418" w:right="1701" w:bottom="1418" w:left="1701" w:header="851" w:footer="851" w:gutter="0"/>
          <w:pgNumType w:start="1"/>
          <w:cols w:space="720" w:num="1"/>
          <w:formProt w:val="0"/>
          <w:docGrid w:type="lines" w:linePitch="312" w:charSpace="0"/>
        </w:sectPr>
      </w:pPr>
    </w:p>
    <w:p>
      <w:pPr>
        <w:snapToGrid w:val="0"/>
        <w:spacing w:before="156" w:before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湖北省知识产权局2021年度“三大工程”项目</w:t>
      </w:r>
    </w:p>
    <w:p>
      <w:pPr>
        <w:snapToGrid w:val="0"/>
        <w:spacing w:before="156" w:before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绩效评价报告</w:t>
      </w:r>
    </w:p>
    <w:p>
      <w:pPr>
        <w:snapToGrid w:val="0"/>
        <w:spacing w:before="312" w:beforeLines="100" w:line="360" w:lineRule="auto"/>
        <w:ind w:firstLine="440" w:firstLineChars="200"/>
        <w:jc w:val="right"/>
        <w:rPr>
          <w:rFonts w:asciiTheme="minorEastAsia" w:hAnsiTheme="minorEastAsia" w:eastAsiaTheme="minorEastAsia"/>
          <w:sz w:val="22"/>
        </w:rPr>
      </w:pPr>
      <w:r>
        <w:rPr>
          <w:rFonts w:asciiTheme="minorEastAsia" w:hAnsiTheme="minorEastAsia" w:eastAsiaTheme="minorEastAsia"/>
          <w:sz w:val="22"/>
        </w:rPr>
        <w:t>XYZH/2022WHAA20654</w:t>
      </w:r>
    </w:p>
    <w:p>
      <w:pPr>
        <w:snapToGrid w:val="0"/>
        <w:spacing w:before="156" w:beforeLines="50" w:after="100" w:afterAutospacing="1" w:line="360" w:lineRule="exact"/>
        <w:rPr>
          <w:rFonts w:asciiTheme="minorEastAsia" w:hAnsiTheme="minorEastAsia" w:eastAsiaTheme="minorEastAsia"/>
          <w:b/>
          <w:sz w:val="22"/>
        </w:rPr>
      </w:pPr>
      <w:r>
        <w:rPr>
          <w:rFonts w:hint="eastAsia" w:asciiTheme="minorEastAsia" w:hAnsiTheme="minorEastAsia" w:eastAsiaTheme="minorEastAsia"/>
          <w:b/>
          <w:sz w:val="22"/>
        </w:rPr>
        <w:t>湖北省知识产权局</w:t>
      </w:r>
      <w:r>
        <w:rPr>
          <w:rFonts w:asciiTheme="minorEastAsia" w:hAnsiTheme="minorEastAsia" w:eastAsiaTheme="minorEastAsia"/>
          <w:b/>
          <w:sz w:val="22"/>
        </w:rPr>
        <w:t>：</w:t>
      </w:r>
    </w:p>
    <w:p>
      <w:pPr>
        <w:spacing w:line="360" w:lineRule="auto"/>
        <w:ind w:firstLine="440" w:firstLineChars="200"/>
        <w:rPr>
          <w:rFonts w:ascii="宋体" w:hAnsi="宋体" w:cs="宋体"/>
          <w:bCs/>
          <w:sz w:val="22"/>
        </w:rPr>
      </w:pPr>
      <w:r>
        <w:rPr>
          <w:rFonts w:hint="eastAsia" w:ascii="宋体" w:hAnsi="宋体" w:cs="宋体"/>
          <w:bCs/>
          <w:sz w:val="22"/>
        </w:rPr>
        <w:t>我们接受湖北省知识产权局委托</w:t>
      </w:r>
      <w:r>
        <w:rPr>
          <w:rFonts w:ascii="宋体" w:hAnsi="宋体" w:cs="宋体"/>
          <w:bCs/>
          <w:sz w:val="22"/>
        </w:rPr>
        <w:t>，于</w:t>
      </w:r>
      <w:r>
        <w:rPr>
          <w:rFonts w:hint="eastAsia" w:ascii="宋体" w:hAnsi="宋体" w:cs="宋体"/>
          <w:bCs/>
          <w:sz w:val="22"/>
        </w:rPr>
        <w:t>20</w:t>
      </w:r>
      <w:r>
        <w:rPr>
          <w:rFonts w:ascii="宋体" w:hAnsi="宋体" w:cs="宋体"/>
          <w:bCs/>
          <w:sz w:val="22"/>
        </w:rPr>
        <w:t>22</w:t>
      </w:r>
      <w:r>
        <w:rPr>
          <w:rFonts w:hint="eastAsia" w:ascii="宋体" w:hAnsi="宋体" w:cs="宋体"/>
          <w:bCs/>
          <w:sz w:val="22"/>
        </w:rPr>
        <w:t>年</w:t>
      </w:r>
      <w:r>
        <w:rPr>
          <w:rFonts w:ascii="宋体" w:hAnsi="宋体" w:cs="宋体"/>
          <w:bCs/>
          <w:sz w:val="22"/>
        </w:rPr>
        <w:t>4</w:t>
      </w:r>
      <w:r>
        <w:rPr>
          <w:rFonts w:hint="eastAsia" w:ascii="宋体" w:hAnsi="宋体" w:cs="宋体"/>
          <w:bCs/>
          <w:sz w:val="22"/>
        </w:rPr>
        <w:t>月</w:t>
      </w:r>
      <w:r>
        <w:rPr>
          <w:rFonts w:ascii="宋体" w:hAnsi="宋体" w:cs="宋体"/>
          <w:bCs/>
          <w:sz w:val="22"/>
        </w:rPr>
        <w:t>6</w:t>
      </w:r>
      <w:r>
        <w:rPr>
          <w:rFonts w:hint="eastAsia" w:ascii="宋体" w:hAnsi="宋体" w:cs="宋体"/>
          <w:bCs/>
          <w:sz w:val="22"/>
        </w:rPr>
        <w:t>日</w:t>
      </w:r>
      <w:r>
        <w:rPr>
          <w:rFonts w:ascii="宋体" w:hAnsi="宋体" w:cs="宋体"/>
          <w:bCs/>
          <w:sz w:val="22"/>
        </w:rPr>
        <w:t>至</w:t>
      </w:r>
      <w:r>
        <w:rPr>
          <w:rFonts w:hint="eastAsia" w:ascii="宋体" w:hAnsi="宋体" w:cs="宋体"/>
          <w:bCs/>
          <w:sz w:val="22"/>
        </w:rPr>
        <w:t>20</w:t>
      </w:r>
      <w:r>
        <w:rPr>
          <w:rFonts w:ascii="宋体" w:hAnsi="宋体" w:cs="宋体"/>
          <w:bCs/>
          <w:sz w:val="22"/>
        </w:rPr>
        <w:t>22</w:t>
      </w:r>
      <w:r>
        <w:rPr>
          <w:rFonts w:hint="eastAsia" w:ascii="宋体" w:hAnsi="宋体" w:cs="宋体"/>
          <w:bCs/>
          <w:sz w:val="22"/>
        </w:rPr>
        <w:t>年</w:t>
      </w:r>
      <w:r>
        <w:rPr>
          <w:rFonts w:ascii="宋体" w:hAnsi="宋体" w:cs="宋体"/>
          <w:bCs/>
          <w:sz w:val="22"/>
        </w:rPr>
        <w:t>4</w:t>
      </w:r>
      <w:r>
        <w:rPr>
          <w:rFonts w:hint="eastAsia" w:ascii="宋体" w:hAnsi="宋体" w:cs="宋体"/>
          <w:bCs/>
          <w:sz w:val="22"/>
        </w:rPr>
        <w:t>月</w:t>
      </w:r>
      <w:r>
        <w:rPr>
          <w:rFonts w:ascii="宋体" w:hAnsi="宋体" w:cs="宋体"/>
          <w:bCs/>
          <w:sz w:val="22"/>
        </w:rPr>
        <w:t>29</w:t>
      </w:r>
      <w:r>
        <w:rPr>
          <w:rFonts w:hint="eastAsia" w:ascii="宋体" w:hAnsi="宋体" w:cs="宋体"/>
          <w:bCs/>
          <w:sz w:val="22"/>
        </w:rPr>
        <w:t>日</w:t>
      </w:r>
      <w:r>
        <w:rPr>
          <w:rFonts w:ascii="宋体" w:hAnsi="宋体" w:cs="宋体"/>
          <w:bCs/>
          <w:sz w:val="22"/>
        </w:rPr>
        <w:t>对</w:t>
      </w:r>
      <w:r>
        <w:rPr>
          <w:rFonts w:hint="eastAsia" w:ascii="宋体" w:hAnsi="宋体" w:cs="宋体"/>
          <w:bCs/>
          <w:sz w:val="22"/>
        </w:rPr>
        <w:t>湖北省知识产权局2</w:t>
      </w:r>
      <w:r>
        <w:rPr>
          <w:rFonts w:ascii="宋体" w:hAnsi="宋体" w:cs="宋体"/>
          <w:bCs/>
          <w:sz w:val="22"/>
        </w:rPr>
        <w:t>021</w:t>
      </w:r>
      <w:r>
        <w:rPr>
          <w:rFonts w:hint="eastAsia" w:ascii="宋体" w:hAnsi="宋体" w:cs="宋体"/>
          <w:bCs/>
          <w:sz w:val="22"/>
        </w:rPr>
        <w:t>年“三大工程”（包括高价值知识产权培育工程、重点企业知识产权海外护航工程、知识产权运用示范工程）项目绩效目标进行评价，</w:t>
      </w:r>
      <w:r>
        <w:rPr>
          <w:rFonts w:hint="eastAsia" w:ascii="宋体" w:hAnsi="宋体"/>
          <w:sz w:val="22"/>
        </w:rPr>
        <w:t>本次绩效评价的范围及工作内容已经与省知识产权局进行了沟通。</w:t>
      </w:r>
      <w:r>
        <w:rPr>
          <w:rFonts w:hint="eastAsia" w:ascii="宋体" w:hAnsi="宋体" w:cs="宋体"/>
          <w:bCs/>
          <w:sz w:val="22"/>
        </w:rPr>
        <w:t>我们绩效评价工作是在湖北省知识产权局提供资料的基础上，通过现场调查、比较分析、访谈、资料审阅等方式进行的。保护资产的安全、完整，保证评审资料的真实、合法、完整是湖北省知识产权局的责任。我们的责任是实施我们认为必要的评审程序，并向湖北省知识产权局如实反映评审程序的实施情况及评审结果。</w:t>
      </w:r>
    </w:p>
    <w:p>
      <w:pPr>
        <w:spacing w:line="360" w:lineRule="auto"/>
        <w:ind w:firstLine="440" w:firstLineChars="200"/>
        <w:rPr>
          <w:rFonts w:ascii="宋体" w:hAnsi="宋体" w:cs="宋体"/>
          <w:bCs/>
          <w:sz w:val="22"/>
        </w:rPr>
      </w:pPr>
      <w:r>
        <w:rPr>
          <w:rFonts w:hint="eastAsia" w:ascii="宋体" w:hAnsi="宋体"/>
          <w:sz w:val="22"/>
        </w:rPr>
        <w:t>我们按照</w:t>
      </w:r>
      <w:r>
        <w:rPr>
          <w:rFonts w:ascii="宋体" w:hAnsi="宋体"/>
          <w:sz w:val="22"/>
        </w:rPr>
        <w:t>《中国注册会计师相关服务准则第4101号——对财务信息执行商定程序》</w:t>
      </w:r>
      <w:r>
        <w:rPr>
          <w:rFonts w:hint="eastAsia" w:ascii="宋体" w:hAnsi="宋体"/>
          <w:sz w:val="22"/>
        </w:rPr>
        <w:t>及审计准则</w:t>
      </w:r>
      <w:r>
        <w:rPr>
          <w:rFonts w:ascii="宋体" w:hAnsi="宋体"/>
          <w:sz w:val="22"/>
        </w:rPr>
        <w:t>的</w:t>
      </w:r>
      <w:r>
        <w:rPr>
          <w:rFonts w:hint="eastAsia" w:ascii="宋体" w:hAnsi="宋体"/>
          <w:sz w:val="22"/>
        </w:rPr>
        <w:t>相关规定，根据我们的评审经验及职业判断，实施我们认为必要的评审程序，如实反映评审结果。除法律法规和审计准则另有规定的情形之外，我们的报告仅限湖北省知识产权局拟定的范围使用，不做其他任何用途。</w:t>
      </w:r>
      <w:r>
        <w:rPr>
          <w:rFonts w:ascii="宋体" w:hAnsi="宋体" w:cs="宋体"/>
          <w:bCs/>
          <w:sz w:val="22"/>
        </w:rPr>
        <w:t>现将</w:t>
      </w:r>
      <w:r>
        <w:rPr>
          <w:rFonts w:hint="eastAsia" w:ascii="宋体" w:hAnsi="宋体" w:cs="宋体"/>
          <w:bCs/>
          <w:sz w:val="22"/>
        </w:rPr>
        <w:t>湖北省知识产权局2021年度“三大工程”项目绩效评价</w:t>
      </w:r>
      <w:r>
        <w:rPr>
          <w:rFonts w:ascii="宋体" w:hAnsi="宋体" w:cs="宋体"/>
          <w:bCs/>
          <w:sz w:val="22"/>
        </w:rPr>
        <w:t>情况报告如下：</w:t>
      </w:r>
    </w:p>
    <w:p>
      <w:pPr>
        <w:spacing w:line="360" w:lineRule="auto"/>
        <w:ind w:firstLine="440" w:firstLineChars="200"/>
        <w:rPr>
          <w:rFonts w:ascii="宋体" w:hAnsi="宋体" w:cs="宋体"/>
          <w:bCs/>
          <w:sz w:val="22"/>
        </w:rPr>
        <w:sectPr>
          <w:footerReference r:id="rId7" w:type="first"/>
          <w:headerReference r:id="rId5" w:type="default"/>
          <w:footerReference r:id="rId6" w:type="default"/>
          <w:type w:val="continuous"/>
          <w:pgSz w:w="11909" w:h="16834"/>
          <w:pgMar w:top="1418" w:right="1701" w:bottom="1418" w:left="1701" w:header="851" w:footer="851" w:gutter="0"/>
          <w:cols w:space="720" w:num="1"/>
          <w:formProt w:val="0"/>
          <w:docGrid w:type="lines" w:linePitch="312" w:charSpace="0"/>
        </w:sectPr>
      </w:pP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bookmarkStart w:id="0" w:name="_Toc10391960"/>
      <w:r>
        <w:rPr>
          <w:rFonts w:hint="eastAsia" w:asciiTheme="minorEastAsia" w:hAnsiTheme="minorEastAsia" w:eastAsiaTheme="minorEastAsia"/>
          <w:sz w:val="22"/>
          <w:szCs w:val="22"/>
        </w:rPr>
        <w:t>项目基本情况</w:t>
      </w:r>
    </w:p>
    <w:p>
      <w:pPr>
        <w:adjustRightInd w:val="0"/>
        <w:snapToGrid w:val="0"/>
        <w:spacing w:before="156" w:beforeLines="50" w:line="360" w:lineRule="auto"/>
        <w:ind w:firstLine="442" w:firstLineChars="200"/>
        <w:jc w:val="left"/>
        <w:outlineLvl w:val="1"/>
        <w:rPr>
          <w:rFonts w:ascii="宋体" w:hAnsi="宋体" w:cs="宋体"/>
          <w:b/>
          <w:sz w:val="22"/>
        </w:rPr>
      </w:pPr>
      <w:r>
        <w:rPr>
          <w:rFonts w:hint="eastAsia" w:ascii="宋体" w:hAnsi="宋体" w:cs="宋体"/>
          <w:b/>
          <w:sz w:val="22"/>
        </w:rPr>
        <w:t>（一）项目概况</w:t>
      </w:r>
    </w:p>
    <w:p>
      <w:pPr>
        <w:spacing w:line="360" w:lineRule="auto"/>
        <w:ind w:firstLine="440" w:firstLineChars="200"/>
        <w:rPr>
          <w:rFonts w:ascii="宋体" w:hAnsi="宋体" w:cs="宋体"/>
          <w:bCs/>
          <w:sz w:val="22"/>
        </w:rPr>
      </w:pPr>
      <w:r>
        <w:rPr>
          <w:rFonts w:hint="eastAsia" w:ascii="宋体" w:hAnsi="宋体" w:cs="宋体"/>
          <w:bCs/>
          <w:sz w:val="22"/>
        </w:rPr>
        <w:t>1</w:t>
      </w:r>
      <w:r>
        <w:rPr>
          <w:rFonts w:ascii="宋体" w:hAnsi="宋体" w:cs="宋体"/>
          <w:bCs/>
          <w:sz w:val="22"/>
        </w:rPr>
        <w:t>.</w:t>
      </w:r>
      <w:r>
        <w:rPr>
          <w:rFonts w:hint="eastAsia" w:ascii="宋体" w:hAnsi="宋体" w:cs="宋体"/>
          <w:bCs/>
          <w:sz w:val="22"/>
        </w:rPr>
        <w:t>项目立项背景</w:t>
      </w:r>
    </w:p>
    <w:p>
      <w:pPr>
        <w:spacing w:line="360" w:lineRule="auto"/>
        <w:ind w:firstLine="440" w:firstLineChars="200"/>
        <w:rPr>
          <w:rFonts w:ascii="宋体" w:hAnsi="宋体" w:cs="宋体"/>
          <w:bCs/>
          <w:sz w:val="22"/>
        </w:rPr>
      </w:pPr>
      <w:r>
        <w:rPr>
          <w:rFonts w:hint="eastAsia" w:ascii="宋体" w:hAnsi="宋体" w:cs="宋体"/>
          <w:bCs/>
          <w:sz w:val="22"/>
        </w:rPr>
        <w:t>为全面贯彻习近平总书记关于知识产权工作的重要指示，切实落实《国务院关于新形势下加快知识产权强国建设的若干意见》、《省人民政府关于加快知识产权强省建设的意见》、《关于进一步强化全省知识产权保护的若干措施》等文件中“深入实施专利质量提升工程，培育更多高价值核心专利”精神。</w:t>
      </w:r>
      <w:r>
        <w:rPr>
          <w:rFonts w:ascii="宋体" w:hAnsi="宋体" w:cs="宋体"/>
          <w:bCs/>
          <w:sz w:val="22"/>
        </w:rPr>
        <w:t>2019</w:t>
      </w:r>
      <w:r>
        <w:rPr>
          <w:rFonts w:hint="eastAsia" w:ascii="宋体" w:hAnsi="宋体" w:cs="宋体"/>
          <w:bCs/>
          <w:sz w:val="22"/>
        </w:rPr>
        <w:t>年3月22日，湖北省知识产权局启动“三大工程”项目，按照申报资金用于高价值知识产权培育、重点企业知识产权海外护航、知识产权运用示范等领域，旨在引导本省培育更多高价值核心专利、促进知识产权运用和加强海外知识产权护航。</w:t>
      </w:r>
    </w:p>
    <w:p>
      <w:pPr>
        <w:spacing w:line="360" w:lineRule="auto"/>
        <w:ind w:firstLine="440" w:firstLineChars="200"/>
        <w:rPr>
          <w:rFonts w:ascii="宋体" w:hAnsi="宋体" w:cs="宋体"/>
          <w:bCs/>
          <w:sz w:val="22"/>
        </w:rPr>
      </w:pPr>
      <w:r>
        <w:rPr>
          <w:rFonts w:hint="eastAsia" w:ascii="宋体" w:hAnsi="宋体" w:cs="宋体"/>
          <w:bCs/>
          <w:sz w:val="22"/>
        </w:rPr>
        <w:t>2</w:t>
      </w:r>
      <w:r>
        <w:rPr>
          <w:rFonts w:ascii="宋体" w:hAnsi="宋体" w:cs="宋体"/>
          <w:bCs/>
          <w:sz w:val="22"/>
        </w:rPr>
        <w:t>.</w:t>
      </w:r>
      <w:r>
        <w:rPr>
          <w:rFonts w:hint="eastAsia" w:ascii="宋体" w:hAnsi="宋体" w:cs="宋体"/>
          <w:bCs/>
          <w:sz w:val="22"/>
        </w:rPr>
        <w:t>项目组织管理机构</w:t>
      </w:r>
    </w:p>
    <w:p>
      <w:pPr>
        <w:spacing w:line="360" w:lineRule="auto"/>
        <w:ind w:firstLine="440" w:firstLineChars="200"/>
        <w:rPr>
          <w:rFonts w:ascii="宋体" w:hAnsi="宋体" w:cs="宋体"/>
          <w:bCs/>
          <w:sz w:val="22"/>
        </w:rPr>
      </w:pPr>
      <w:r>
        <w:rPr>
          <w:rFonts w:hint="eastAsia" w:ascii="宋体" w:hAnsi="宋体" w:cs="宋体"/>
          <w:bCs/>
          <w:sz w:val="22"/>
        </w:rPr>
        <w:t>湖北省知识产权局负责申报与执行。</w:t>
      </w:r>
    </w:p>
    <w:p>
      <w:pPr>
        <w:spacing w:line="360" w:lineRule="auto"/>
        <w:ind w:firstLine="440" w:firstLineChars="200"/>
        <w:rPr>
          <w:rFonts w:ascii="宋体" w:hAnsi="宋体" w:cs="宋体"/>
          <w:bCs/>
          <w:sz w:val="22"/>
        </w:rPr>
      </w:pPr>
      <w:r>
        <w:rPr>
          <w:rFonts w:ascii="宋体" w:hAnsi="宋体" w:cs="宋体"/>
          <w:bCs/>
          <w:sz w:val="22"/>
        </w:rPr>
        <w:t>3.</w:t>
      </w:r>
      <w:r>
        <w:rPr>
          <w:rFonts w:hint="eastAsia" w:ascii="宋体" w:hAnsi="宋体" w:cs="宋体"/>
          <w:bCs/>
          <w:sz w:val="22"/>
        </w:rPr>
        <w:t>项目实施的主要内容及任务</w:t>
      </w:r>
    </w:p>
    <w:p>
      <w:pPr>
        <w:pStyle w:val="24"/>
        <w:numPr>
          <w:ilvl w:val="0"/>
          <w:numId w:val="2"/>
        </w:numPr>
        <w:tabs>
          <w:tab w:val="left" w:pos="993"/>
        </w:tabs>
        <w:spacing w:line="360" w:lineRule="auto"/>
        <w:ind w:left="142" w:firstLine="298" w:firstLineChars="0"/>
        <w:rPr>
          <w:rFonts w:ascii="宋体" w:hAnsi="宋体" w:cs="宋体"/>
          <w:bCs/>
          <w:sz w:val="22"/>
        </w:rPr>
      </w:pPr>
      <w:r>
        <w:rPr>
          <w:rFonts w:hint="eastAsia" w:ascii="宋体" w:hAnsi="宋体" w:cs="宋体"/>
          <w:bCs/>
          <w:sz w:val="22"/>
        </w:rPr>
        <w:t>高价值知识产权培育工程项目</w:t>
      </w:r>
    </w:p>
    <w:p>
      <w:pPr>
        <w:tabs>
          <w:tab w:val="left" w:pos="993"/>
        </w:tabs>
        <w:spacing w:line="360" w:lineRule="auto"/>
        <w:ind w:left="142" w:firstLine="440" w:firstLineChars="200"/>
        <w:rPr>
          <w:rFonts w:ascii="宋体" w:hAnsi="宋体" w:cs="宋体"/>
          <w:bCs/>
          <w:sz w:val="22"/>
        </w:rPr>
      </w:pPr>
      <w:r>
        <w:rPr>
          <w:rFonts w:hint="eastAsia" w:ascii="宋体" w:hAnsi="宋体" w:cs="宋体"/>
          <w:bCs/>
          <w:sz w:val="22"/>
        </w:rPr>
        <w:t>高价值知识产权培育工程项目计划以企事业单位为培育主体，积极开展产学研服协作创新，探索培育高价值知识产权的新模式、新机制、新路径，培育一批高价值专利、开发一批高价值专利产品、新增一批驰名商标和地理标志，培育高价值专利组合，引导一批具有高价值知识产权的创新型企业做大做强。</w:t>
      </w:r>
    </w:p>
    <w:p>
      <w:pPr>
        <w:spacing w:line="360" w:lineRule="auto"/>
        <w:ind w:left="141" w:leftChars="67" w:firstLine="440" w:firstLineChars="200"/>
        <w:rPr>
          <w:rFonts w:ascii="宋体" w:hAnsi="宋体" w:cs="宋体"/>
          <w:bCs/>
          <w:sz w:val="22"/>
        </w:rPr>
      </w:pPr>
      <w:r>
        <w:rPr>
          <w:rFonts w:hint="eastAsia" w:ascii="宋体" w:hAnsi="宋体" w:cs="宋体"/>
          <w:bCs/>
          <w:sz w:val="22"/>
        </w:rPr>
        <w:t>（2）企业知识产权海外护航工程项目</w:t>
      </w:r>
    </w:p>
    <w:p>
      <w:pPr>
        <w:spacing w:line="360" w:lineRule="auto"/>
        <w:ind w:left="141" w:leftChars="67" w:firstLine="440" w:firstLineChars="200"/>
        <w:rPr>
          <w:rFonts w:ascii="宋体" w:hAnsi="宋体" w:cs="宋体"/>
          <w:bCs/>
          <w:sz w:val="22"/>
        </w:rPr>
      </w:pPr>
      <w:r>
        <w:rPr>
          <w:rFonts w:hint="eastAsia" w:ascii="宋体" w:hAnsi="宋体" w:cs="宋体"/>
          <w:bCs/>
          <w:sz w:val="22"/>
        </w:rPr>
        <w:t>知识产权海外护航工程项目选择重点企业开展试点工作，支持其开展知识产权分析、布局、防控和应对机制建设，强化企业知识产权海外维权服务，建立多部门间的企业“走出去”信息共享机制，形成工作合力，共同推动企业“走出去”。加强海外知识产权人才的培养，搭建知识产权国际合作的桥梁。</w:t>
      </w:r>
    </w:p>
    <w:p>
      <w:pPr>
        <w:spacing w:line="360" w:lineRule="auto"/>
        <w:ind w:left="141" w:leftChars="67" w:firstLine="440" w:firstLineChars="200"/>
        <w:rPr>
          <w:rFonts w:ascii="宋体" w:hAnsi="宋体" w:cs="宋体"/>
          <w:bCs/>
          <w:sz w:val="22"/>
        </w:rPr>
      </w:pPr>
      <w:r>
        <w:rPr>
          <w:rFonts w:hint="eastAsia" w:ascii="宋体" w:hAnsi="宋体" w:cs="宋体"/>
          <w:bCs/>
          <w:sz w:val="22"/>
        </w:rPr>
        <w:t>（3）知识产权运用示范工程项目</w:t>
      </w:r>
    </w:p>
    <w:p>
      <w:pPr>
        <w:spacing w:line="360" w:lineRule="auto"/>
        <w:ind w:left="141" w:leftChars="67" w:firstLine="440" w:firstLineChars="200"/>
        <w:rPr>
          <w:rFonts w:ascii="宋体" w:hAnsi="宋体" w:cs="宋体"/>
          <w:bCs/>
          <w:sz w:val="22"/>
        </w:rPr>
      </w:pPr>
      <w:r>
        <w:rPr>
          <w:rFonts w:hint="eastAsia" w:ascii="宋体" w:hAnsi="宋体" w:cs="宋体"/>
          <w:bCs/>
          <w:sz w:val="22"/>
        </w:rPr>
        <w:t>知识产权运用示范工程项目旨在引导本省高等学校（科研院所）和企业实施知识产权战略，促进创新要素按照市场规律向高等学校（科研院所）和企业集聚，培育一批知识产权运用能力突出、知识产权管理体系完善的湖北省知识产权运用示范单位。</w:t>
      </w:r>
    </w:p>
    <w:p>
      <w:pPr>
        <w:adjustRightInd w:val="0"/>
        <w:snapToGrid w:val="0"/>
        <w:spacing w:before="156" w:beforeLines="50" w:line="360" w:lineRule="auto"/>
        <w:ind w:firstLine="442" w:firstLineChars="200"/>
        <w:jc w:val="left"/>
        <w:outlineLvl w:val="1"/>
        <w:rPr>
          <w:rFonts w:ascii="宋体" w:hAnsi="宋体" w:cs="宋体"/>
          <w:b/>
          <w:sz w:val="22"/>
        </w:rPr>
      </w:pPr>
      <w:r>
        <w:rPr>
          <w:rFonts w:hint="eastAsia" w:ascii="宋体" w:hAnsi="宋体" w:cs="宋体"/>
          <w:b/>
          <w:sz w:val="22"/>
        </w:rPr>
        <w:t>（二）项目绩效目标</w:t>
      </w:r>
    </w:p>
    <w:p>
      <w:pPr>
        <w:spacing w:line="360" w:lineRule="auto"/>
        <w:ind w:firstLine="440" w:firstLineChars="200"/>
        <w:rPr>
          <w:rFonts w:ascii="宋体" w:hAnsi="宋体" w:cs="宋体"/>
          <w:bCs/>
          <w:sz w:val="22"/>
        </w:rPr>
      </w:pPr>
      <w:r>
        <w:rPr>
          <w:rFonts w:hint="eastAsia" w:ascii="宋体" w:hAnsi="宋体" w:cs="宋体"/>
          <w:bCs/>
          <w:sz w:val="22"/>
        </w:rPr>
        <w:t>1</w:t>
      </w:r>
      <w:r>
        <w:rPr>
          <w:rFonts w:ascii="宋体" w:hAnsi="宋体" w:cs="宋体"/>
          <w:bCs/>
          <w:sz w:val="22"/>
        </w:rPr>
        <w:t>.</w:t>
      </w:r>
      <w:r>
        <w:rPr>
          <w:rFonts w:hint="eastAsia" w:ascii="宋体" w:hAnsi="宋体" w:cs="宋体"/>
          <w:bCs/>
          <w:sz w:val="22"/>
        </w:rPr>
        <w:t>项目绩效总目标</w:t>
      </w:r>
    </w:p>
    <w:p>
      <w:pPr>
        <w:spacing w:line="360" w:lineRule="auto"/>
        <w:ind w:firstLine="440" w:firstLineChars="200"/>
        <w:rPr>
          <w:rFonts w:ascii="宋体" w:hAnsi="宋体" w:cs="宋体"/>
          <w:bCs/>
          <w:sz w:val="22"/>
        </w:rPr>
      </w:pPr>
      <w:r>
        <w:rPr>
          <w:rFonts w:hint="eastAsia" w:ascii="宋体" w:hAnsi="宋体" w:cs="宋体"/>
          <w:bCs/>
          <w:sz w:val="22"/>
        </w:rPr>
        <w:t>“三大工程”项目2</w:t>
      </w:r>
      <w:r>
        <w:rPr>
          <w:rFonts w:ascii="宋体" w:hAnsi="宋体" w:cs="宋体"/>
          <w:bCs/>
          <w:sz w:val="22"/>
        </w:rPr>
        <w:t>021</w:t>
      </w:r>
      <w:r>
        <w:rPr>
          <w:rFonts w:hint="eastAsia" w:ascii="宋体" w:hAnsi="宋体" w:cs="宋体"/>
          <w:bCs/>
          <w:sz w:val="22"/>
        </w:rPr>
        <w:t>年度绩效目标为：（</w:t>
      </w:r>
      <w:r>
        <w:rPr>
          <w:rFonts w:ascii="宋体" w:hAnsi="宋体" w:cs="宋体"/>
          <w:bCs/>
          <w:sz w:val="22"/>
        </w:rPr>
        <w:t>1</w:t>
      </w:r>
      <w:r>
        <w:rPr>
          <w:rFonts w:hint="eastAsia" w:ascii="宋体" w:hAnsi="宋体" w:cs="宋体"/>
          <w:bCs/>
          <w:sz w:val="22"/>
        </w:rPr>
        <w:t>）进一步加强知识产权服务工作。高价值培育项目数达到100项左右；（</w:t>
      </w:r>
      <w:r>
        <w:rPr>
          <w:rFonts w:ascii="宋体" w:hAnsi="宋体" w:cs="宋体"/>
          <w:bCs/>
          <w:sz w:val="22"/>
        </w:rPr>
        <w:t>2</w:t>
      </w:r>
      <w:r>
        <w:rPr>
          <w:rFonts w:hint="eastAsia" w:ascii="宋体" w:hAnsi="宋体" w:cs="宋体"/>
          <w:bCs/>
          <w:sz w:val="22"/>
        </w:rPr>
        <w:t>）认定新一批知识产权海外护航企业，并开展相关工作，护航湖北省重点“走出去”企业数量不少于20家；（</w:t>
      </w:r>
      <w:r>
        <w:rPr>
          <w:rFonts w:ascii="宋体" w:hAnsi="宋体" w:cs="宋体"/>
          <w:bCs/>
          <w:sz w:val="22"/>
        </w:rPr>
        <w:t>3</w:t>
      </w:r>
      <w:r>
        <w:rPr>
          <w:rFonts w:hint="eastAsia" w:ascii="宋体" w:hAnsi="宋体" w:cs="宋体"/>
          <w:bCs/>
          <w:sz w:val="22"/>
        </w:rPr>
        <w:t>）开展高价值品牌培育、品牌海外护航、品牌运用示范等品牌专项提升行动，激励我省品牌培育创新，开展品牌宣传推广活动，培育高价值品牌项目≥6个，品牌海外护航项目≥2个，品牌运用示范项目≥8个。</w:t>
      </w:r>
    </w:p>
    <w:p>
      <w:pPr>
        <w:spacing w:line="360" w:lineRule="auto"/>
        <w:ind w:firstLine="440" w:firstLineChars="200"/>
        <w:rPr>
          <w:rFonts w:ascii="宋体" w:hAnsi="宋体" w:cs="宋体"/>
          <w:bCs/>
          <w:sz w:val="22"/>
        </w:rPr>
      </w:pPr>
      <w:r>
        <w:rPr>
          <w:rFonts w:hint="eastAsia" w:ascii="宋体" w:hAnsi="宋体" w:cs="宋体"/>
          <w:bCs/>
          <w:sz w:val="22"/>
        </w:rPr>
        <w:t>2</w:t>
      </w:r>
      <w:r>
        <w:rPr>
          <w:rFonts w:ascii="宋体" w:hAnsi="宋体" w:cs="宋体"/>
          <w:bCs/>
          <w:sz w:val="22"/>
        </w:rPr>
        <w:t>.</w:t>
      </w:r>
      <w:r>
        <w:rPr>
          <w:rFonts w:hint="eastAsia" w:ascii="宋体" w:hAnsi="宋体" w:cs="宋体"/>
          <w:bCs/>
          <w:sz w:val="22"/>
        </w:rPr>
        <w:t>项目绩效具体产出指标</w:t>
      </w:r>
    </w:p>
    <w:p>
      <w:pPr>
        <w:spacing w:line="360" w:lineRule="auto"/>
        <w:ind w:firstLine="440" w:firstLineChars="200"/>
        <w:rPr>
          <w:rFonts w:ascii="宋体" w:hAnsi="宋体" w:cs="宋体"/>
          <w:bCs/>
          <w:sz w:val="22"/>
        </w:rPr>
      </w:pPr>
      <w:r>
        <w:rPr>
          <w:rFonts w:hint="eastAsia" w:ascii="宋体" w:hAnsi="宋体" w:cs="宋体"/>
          <w:bCs/>
          <w:sz w:val="22"/>
        </w:rPr>
        <w:t>数量指标：高价值培育项目数1</w:t>
      </w:r>
      <w:r>
        <w:rPr>
          <w:rFonts w:ascii="宋体" w:hAnsi="宋体" w:cs="宋体"/>
          <w:bCs/>
          <w:sz w:val="22"/>
        </w:rPr>
        <w:t>00</w:t>
      </w:r>
      <w:r>
        <w:rPr>
          <w:rFonts w:hint="eastAsia" w:ascii="宋体" w:hAnsi="宋体" w:cs="宋体"/>
          <w:bCs/>
          <w:sz w:val="22"/>
        </w:rPr>
        <w:t>项左右；高价值品牌培育项目不少于6个；品牌海外护航项目不少于</w:t>
      </w:r>
      <w:r>
        <w:rPr>
          <w:rFonts w:ascii="宋体" w:hAnsi="宋体" w:cs="宋体"/>
          <w:bCs/>
          <w:sz w:val="22"/>
        </w:rPr>
        <w:t>2</w:t>
      </w:r>
      <w:r>
        <w:rPr>
          <w:rFonts w:hint="eastAsia" w:ascii="宋体" w:hAnsi="宋体" w:cs="宋体"/>
          <w:bCs/>
          <w:sz w:val="22"/>
        </w:rPr>
        <w:t>个；品牌运用示范项目不少于8个。</w:t>
      </w:r>
    </w:p>
    <w:p>
      <w:pPr>
        <w:spacing w:line="360" w:lineRule="auto"/>
        <w:ind w:firstLine="440" w:firstLineChars="200"/>
        <w:jc w:val="left"/>
        <w:rPr>
          <w:rFonts w:ascii="宋体" w:hAnsi="宋体" w:cs="宋体"/>
          <w:bCs/>
          <w:sz w:val="22"/>
        </w:rPr>
      </w:pPr>
      <w:r>
        <w:rPr>
          <w:rFonts w:hint="eastAsia" w:ascii="宋体" w:hAnsi="宋体" w:cs="宋体"/>
          <w:bCs/>
          <w:sz w:val="22"/>
        </w:rPr>
        <w:t>效益指标：护航湖北省重点“走出去”企业数量不少于</w:t>
      </w:r>
      <w:r>
        <w:rPr>
          <w:rFonts w:ascii="宋体" w:hAnsi="宋体" w:cs="宋体"/>
          <w:bCs/>
          <w:sz w:val="22"/>
        </w:rPr>
        <w:t>20</w:t>
      </w:r>
      <w:r>
        <w:rPr>
          <w:rFonts w:hint="eastAsia" w:ascii="宋体" w:hAnsi="宋体" w:cs="宋体"/>
          <w:bCs/>
          <w:sz w:val="22"/>
        </w:rPr>
        <w:t>家。</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绩效评价工作情况</w:t>
      </w:r>
    </w:p>
    <w:p>
      <w:pPr>
        <w:pStyle w:val="24"/>
        <w:numPr>
          <w:ilvl w:val="0"/>
          <w:numId w:val="3"/>
        </w:numPr>
        <w:adjustRightInd w:val="0"/>
        <w:snapToGrid w:val="0"/>
        <w:spacing w:before="156" w:beforeLines="50" w:line="360" w:lineRule="auto"/>
        <w:ind w:firstLineChars="0"/>
        <w:jc w:val="left"/>
        <w:outlineLvl w:val="1"/>
        <w:rPr>
          <w:rFonts w:ascii="宋体" w:hAnsi="宋体" w:cs="宋体"/>
          <w:b/>
          <w:sz w:val="22"/>
        </w:rPr>
      </w:pPr>
      <w:r>
        <w:rPr>
          <w:rFonts w:hint="eastAsia" w:ascii="宋体" w:hAnsi="宋体" w:cs="宋体"/>
          <w:b/>
          <w:sz w:val="22"/>
        </w:rPr>
        <w:t>绩效评价的目的</w:t>
      </w:r>
    </w:p>
    <w:p>
      <w:pPr>
        <w:adjustRightInd w:val="0"/>
        <w:snapToGrid w:val="0"/>
        <w:spacing w:before="156" w:beforeLines="50" w:after="156" w:afterLines="50" w:line="360" w:lineRule="auto"/>
        <w:ind w:firstLine="440" w:firstLineChars="200"/>
        <w:jc w:val="left"/>
        <w:rPr>
          <w:rFonts w:ascii="宋体" w:hAnsi="宋体" w:cs="宋体"/>
          <w:sz w:val="22"/>
        </w:rPr>
      </w:pPr>
      <w:r>
        <w:rPr>
          <w:rFonts w:hint="eastAsia" w:ascii="宋体" w:hAnsi="宋体" w:cs="宋体"/>
          <w:sz w:val="22"/>
        </w:rPr>
        <w:t>通过对项目资金预算及执行情况进行对比分析，系统评价预算项目实施质量、效益指标完成情况，发现项目实施过程中存在的不足之处，总结预算项目实施经验，及时调整和优化作计划和绩效目标、绩效指标，促进项目单位从整体上提升预算绩效管理工作水平。将绩效评价结果与项目预算挂钩，强化支出主体责任，保障好项目单位更好地履行职责，为以后年度项目资金的使用提供决策参考，提高专项资金使用效率。</w:t>
      </w:r>
    </w:p>
    <w:p>
      <w:pPr>
        <w:adjustRightInd w:val="0"/>
        <w:snapToGrid w:val="0"/>
        <w:spacing w:before="156" w:beforeLines="50" w:line="360" w:lineRule="auto"/>
        <w:ind w:firstLine="442" w:firstLineChars="200"/>
        <w:jc w:val="left"/>
        <w:outlineLvl w:val="1"/>
        <w:rPr>
          <w:rFonts w:ascii="宋体" w:hAnsi="宋体" w:cs="宋体"/>
          <w:b/>
          <w:sz w:val="22"/>
        </w:rPr>
      </w:pPr>
      <w:r>
        <w:rPr>
          <w:rFonts w:hint="eastAsia" w:ascii="宋体" w:hAnsi="宋体" w:cs="宋体"/>
          <w:b/>
          <w:bCs/>
          <w:sz w:val="22"/>
        </w:rPr>
        <w:t>（二）绩效评价原则</w:t>
      </w:r>
    </w:p>
    <w:p>
      <w:pPr>
        <w:spacing w:line="360" w:lineRule="auto"/>
        <w:ind w:firstLine="440" w:firstLineChars="200"/>
        <w:rPr>
          <w:rFonts w:ascii="宋体" w:hAnsi="宋体" w:cs="宋体"/>
          <w:sz w:val="22"/>
        </w:rPr>
      </w:pPr>
      <w:r>
        <w:rPr>
          <w:rFonts w:hint="eastAsia" w:ascii="宋体" w:hAnsi="宋体" w:cs="宋体"/>
          <w:sz w:val="22"/>
        </w:rPr>
        <w:t>1．科学公正。绩效评价应当运用科学合理的方法，按照规范的程序，对项目绩效进行客观、公正的反映。</w:t>
      </w:r>
    </w:p>
    <w:p>
      <w:pPr>
        <w:spacing w:line="360" w:lineRule="auto"/>
        <w:ind w:firstLine="440" w:firstLineChars="200"/>
        <w:rPr>
          <w:rFonts w:ascii="宋体" w:hAnsi="宋体" w:cs="宋体"/>
          <w:sz w:val="22"/>
        </w:rPr>
      </w:pPr>
      <w:r>
        <w:rPr>
          <w:rFonts w:ascii="宋体" w:hAnsi="宋体" w:cs="宋体"/>
          <w:sz w:val="22"/>
        </w:rPr>
        <w:t>2</w:t>
      </w:r>
      <w:r>
        <w:rPr>
          <w:rFonts w:hint="eastAsia" w:ascii="宋体" w:hAnsi="宋体" w:cs="宋体"/>
          <w:sz w:val="22"/>
        </w:rPr>
        <w:t>．激励约束。绩效评价结果应与预算安排、政策调整、改进管理实质性挂钩，体现奖优罚劣和激励相容导向，有效要安排、低效要压减、无效要问责。</w:t>
      </w:r>
    </w:p>
    <w:p>
      <w:pPr>
        <w:spacing w:line="360" w:lineRule="auto"/>
        <w:ind w:firstLine="440" w:firstLineChars="200"/>
        <w:rPr>
          <w:rFonts w:ascii="宋体" w:hAnsi="宋体" w:cs="宋体"/>
          <w:sz w:val="22"/>
        </w:rPr>
      </w:pPr>
      <w:r>
        <w:rPr>
          <w:rFonts w:hint="eastAsia" w:ascii="宋体" w:hAnsi="宋体" w:cs="宋体"/>
          <w:sz w:val="22"/>
        </w:rPr>
        <w:t>3．绩效相关原则。针对具体支出及其产出绩效进行，评价结果能够清晰反映支出和产出绩效之间的紧密对应关系。</w:t>
      </w:r>
    </w:p>
    <w:p>
      <w:pPr>
        <w:spacing w:line="360" w:lineRule="auto"/>
        <w:ind w:firstLine="440" w:firstLineChars="200"/>
        <w:rPr>
          <w:rFonts w:ascii="宋体" w:hAnsi="宋体" w:cs="宋体"/>
          <w:sz w:val="22"/>
        </w:rPr>
      </w:pPr>
      <w:r>
        <w:rPr>
          <w:rFonts w:hint="eastAsia" w:ascii="宋体" w:hAnsi="宋体" w:cs="宋体"/>
          <w:sz w:val="22"/>
        </w:rPr>
        <w:t>4．重点核查原则。对于大额支出、新增项目、效益明显的项目，容易出现管控问题之处，进行重点核查。</w:t>
      </w:r>
    </w:p>
    <w:p>
      <w:pPr>
        <w:adjustRightInd w:val="0"/>
        <w:snapToGrid w:val="0"/>
        <w:spacing w:before="156" w:beforeLines="50" w:line="360" w:lineRule="auto"/>
        <w:ind w:firstLine="442" w:firstLineChars="200"/>
        <w:jc w:val="left"/>
        <w:outlineLvl w:val="1"/>
        <w:rPr>
          <w:rFonts w:ascii="宋体" w:hAnsi="宋体" w:cs="宋体"/>
          <w:b/>
          <w:bCs/>
          <w:sz w:val="22"/>
        </w:rPr>
      </w:pPr>
      <w:r>
        <w:rPr>
          <w:rFonts w:hint="eastAsia" w:ascii="宋体" w:hAnsi="宋体" w:cs="宋体"/>
          <w:b/>
          <w:bCs/>
          <w:sz w:val="22"/>
        </w:rPr>
        <w:t>（三）评审依据</w:t>
      </w:r>
    </w:p>
    <w:p>
      <w:pPr>
        <w:spacing w:line="360" w:lineRule="auto"/>
        <w:ind w:firstLine="440" w:firstLineChars="200"/>
        <w:rPr>
          <w:rFonts w:ascii="宋体" w:hAnsi="宋体" w:cs="宋体"/>
          <w:sz w:val="22"/>
        </w:rPr>
      </w:pPr>
      <w:r>
        <w:rPr>
          <w:rFonts w:hint="eastAsia" w:ascii="宋体" w:hAnsi="宋体" w:cs="宋体"/>
          <w:sz w:val="22"/>
        </w:rPr>
        <w:t>1</w:t>
      </w:r>
      <w:r>
        <w:rPr>
          <w:rFonts w:ascii="宋体" w:hAnsi="宋体" w:cs="宋体"/>
          <w:sz w:val="22"/>
        </w:rPr>
        <w:t>.</w:t>
      </w:r>
      <w:r>
        <w:rPr>
          <w:rFonts w:hint="eastAsia" w:ascii="宋体" w:hAnsi="宋体" w:cs="宋体"/>
          <w:sz w:val="22"/>
        </w:rPr>
        <w:t>《中华人民共和国预算法》；</w:t>
      </w:r>
    </w:p>
    <w:p>
      <w:pPr>
        <w:spacing w:line="360" w:lineRule="auto"/>
        <w:ind w:firstLine="440" w:firstLineChars="200"/>
        <w:rPr>
          <w:rFonts w:ascii="宋体" w:hAnsi="宋体" w:cs="宋体"/>
          <w:sz w:val="22"/>
        </w:rPr>
      </w:pPr>
      <w:r>
        <w:rPr>
          <w:rFonts w:hint="eastAsia" w:ascii="宋体" w:hAnsi="宋体" w:cs="宋体"/>
          <w:sz w:val="22"/>
        </w:rPr>
        <w:t>2</w:t>
      </w:r>
      <w:r>
        <w:rPr>
          <w:rFonts w:ascii="宋体" w:hAnsi="宋体" w:cs="宋体"/>
          <w:sz w:val="22"/>
        </w:rPr>
        <w:t>.</w:t>
      </w:r>
      <w:r>
        <w:rPr>
          <w:rFonts w:hint="eastAsia" w:ascii="宋体" w:hAnsi="宋体" w:cs="宋体"/>
          <w:sz w:val="22"/>
        </w:rPr>
        <w:t>财政部《财政支出绩效评价管理暂行办法》；</w:t>
      </w:r>
    </w:p>
    <w:p>
      <w:pPr>
        <w:spacing w:line="360" w:lineRule="auto"/>
        <w:ind w:firstLine="440" w:firstLineChars="200"/>
        <w:rPr>
          <w:rFonts w:ascii="宋体" w:hAnsi="宋体" w:cs="宋体"/>
          <w:sz w:val="22"/>
        </w:rPr>
      </w:pPr>
      <w:r>
        <w:rPr>
          <w:rFonts w:hint="eastAsia" w:ascii="宋体" w:hAnsi="宋体" w:cs="宋体"/>
          <w:sz w:val="22"/>
        </w:rPr>
        <w:t>3</w:t>
      </w:r>
      <w:r>
        <w:rPr>
          <w:rFonts w:ascii="宋体" w:hAnsi="宋体" w:cs="宋体"/>
          <w:sz w:val="22"/>
        </w:rPr>
        <w:t>.</w:t>
      </w:r>
      <w:r>
        <w:rPr>
          <w:rFonts w:hint="eastAsia" w:ascii="宋体" w:hAnsi="宋体" w:cs="宋体"/>
          <w:sz w:val="22"/>
        </w:rPr>
        <w:t>财政部关于印发《项目支出绩效评价管理办法》的通知（财预〔2020〕10 号）；</w:t>
      </w:r>
    </w:p>
    <w:p>
      <w:pPr>
        <w:spacing w:line="360" w:lineRule="auto"/>
        <w:ind w:firstLine="440" w:firstLineChars="200"/>
        <w:rPr>
          <w:rFonts w:ascii="宋体" w:hAnsi="宋体" w:cs="宋体"/>
          <w:sz w:val="22"/>
        </w:rPr>
      </w:pPr>
      <w:r>
        <w:rPr>
          <w:rFonts w:ascii="宋体" w:hAnsi="宋体" w:cs="宋体"/>
          <w:sz w:val="22"/>
        </w:rPr>
        <w:t>4.湖北省财政厅关于印发《全面实施预算绩效管理系列制度》的通知（鄂财绩发</w:t>
      </w:r>
      <w:r>
        <w:rPr>
          <w:rFonts w:hint="eastAsia" w:ascii="宋体" w:hAnsi="宋体" w:cs="宋体"/>
          <w:sz w:val="22"/>
        </w:rPr>
        <w:t>[</w:t>
      </w:r>
      <w:r>
        <w:rPr>
          <w:rFonts w:ascii="宋体" w:hAnsi="宋体" w:cs="宋体"/>
          <w:sz w:val="22"/>
        </w:rPr>
        <w:t>2020</w:t>
      </w:r>
      <w:r>
        <w:rPr>
          <w:rFonts w:hint="eastAsia" w:ascii="宋体" w:hAnsi="宋体" w:cs="宋体"/>
          <w:sz w:val="22"/>
        </w:rPr>
        <w:t>]</w:t>
      </w:r>
      <w:r>
        <w:rPr>
          <w:rFonts w:ascii="宋体" w:hAnsi="宋体" w:cs="宋体"/>
          <w:sz w:val="22"/>
        </w:rPr>
        <w:t>3号）</w:t>
      </w:r>
      <w:r>
        <w:rPr>
          <w:rFonts w:hint="eastAsia" w:ascii="宋体" w:hAnsi="宋体" w:cs="宋体"/>
          <w:sz w:val="22"/>
        </w:rPr>
        <w:t>；</w:t>
      </w:r>
    </w:p>
    <w:p>
      <w:pPr>
        <w:spacing w:line="360" w:lineRule="auto"/>
        <w:ind w:firstLine="440" w:firstLineChars="200"/>
        <w:rPr>
          <w:rFonts w:ascii="宋体" w:hAnsi="宋体" w:cs="宋体"/>
          <w:sz w:val="22"/>
        </w:rPr>
      </w:pPr>
      <w:r>
        <w:rPr>
          <w:rFonts w:ascii="宋体" w:hAnsi="宋体" w:cs="宋体"/>
          <w:sz w:val="22"/>
        </w:rPr>
        <w:t>5.</w:t>
      </w:r>
      <w:r>
        <w:rPr>
          <w:rFonts w:hint="eastAsia" w:ascii="宋体" w:hAnsi="宋体" w:cs="宋体"/>
          <w:sz w:val="22"/>
        </w:rPr>
        <w:t>湖北省知识产权局2</w:t>
      </w:r>
      <w:r>
        <w:rPr>
          <w:rFonts w:ascii="宋体" w:hAnsi="宋体" w:cs="宋体"/>
          <w:sz w:val="22"/>
        </w:rPr>
        <w:t>021</w:t>
      </w:r>
      <w:r>
        <w:rPr>
          <w:rFonts w:hint="eastAsia" w:ascii="宋体" w:hAnsi="宋体" w:cs="宋体"/>
          <w:sz w:val="22"/>
        </w:rPr>
        <w:t>年相关公开信息、2</w:t>
      </w:r>
      <w:r>
        <w:rPr>
          <w:rFonts w:ascii="宋体" w:hAnsi="宋体" w:cs="宋体"/>
          <w:sz w:val="22"/>
        </w:rPr>
        <w:t>021</w:t>
      </w:r>
      <w:r>
        <w:rPr>
          <w:rFonts w:hint="eastAsia" w:ascii="宋体" w:hAnsi="宋体" w:cs="宋体"/>
          <w:sz w:val="22"/>
        </w:rPr>
        <w:t>年决算报表及财务资料；各处室工作总结及项目实施资料等；</w:t>
      </w:r>
    </w:p>
    <w:p>
      <w:pPr>
        <w:adjustRightInd w:val="0"/>
        <w:snapToGrid w:val="0"/>
        <w:spacing w:before="156" w:beforeLines="50" w:line="360" w:lineRule="auto"/>
        <w:ind w:firstLine="442" w:firstLineChars="200"/>
        <w:jc w:val="left"/>
        <w:outlineLvl w:val="1"/>
        <w:rPr>
          <w:rFonts w:ascii="宋体" w:hAnsi="宋体" w:cs="宋体"/>
          <w:b/>
          <w:bCs/>
          <w:sz w:val="22"/>
        </w:rPr>
      </w:pPr>
      <w:r>
        <w:rPr>
          <w:rFonts w:hint="eastAsia" w:ascii="宋体" w:hAnsi="宋体" w:cs="宋体"/>
          <w:b/>
          <w:bCs/>
          <w:sz w:val="22"/>
        </w:rPr>
        <w:t>（四）评价方法</w:t>
      </w:r>
    </w:p>
    <w:p>
      <w:pPr>
        <w:spacing w:line="360" w:lineRule="auto"/>
        <w:ind w:firstLine="440" w:firstLineChars="200"/>
        <w:rPr>
          <w:rFonts w:ascii="宋体" w:hAnsi="宋体" w:cs="宋体"/>
          <w:sz w:val="22"/>
        </w:rPr>
      </w:pPr>
      <w:r>
        <w:rPr>
          <w:rFonts w:hint="eastAsia" w:ascii="宋体" w:hAnsi="宋体" w:cs="宋体"/>
          <w:bCs/>
          <w:sz w:val="22"/>
        </w:rPr>
        <w:t>根据评价对象的具体情况，本次评审主要采取定量和定性相结合的方式，遵循投入产出和绩效管理基本原理，主要采用比较法、因素分析法、公众评判法等。重点围绕部门职能、目标、项目与预算的匹配关系，部门管制度保障情况，部门履职的有效性、资源配置有效性和满意度等方面开展评价。</w:t>
      </w:r>
    </w:p>
    <w:p>
      <w:pPr>
        <w:adjustRightInd w:val="0"/>
        <w:snapToGrid w:val="0"/>
        <w:spacing w:before="156" w:beforeLines="50" w:line="360" w:lineRule="auto"/>
        <w:ind w:firstLine="442" w:firstLineChars="200"/>
        <w:jc w:val="left"/>
        <w:outlineLvl w:val="1"/>
        <w:rPr>
          <w:rFonts w:ascii="宋体" w:hAnsi="宋体" w:cs="宋体"/>
          <w:b/>
          <w:bCs/>
          <w:sz w:val="22"/>
        </w:rPr>
      </w:pPr>
      <w:r>
        <w:rPr>
          <w:rFonts w:hint="eastAsia" w:ascii="宋体" w:hAnsi="宋体" w:cs="宋体"/>
          <w:b/>
          <w:bCs/>
          <w:sz w:val="22"/>
        </w:rPr>
        <w:t>（五）评价指标体系</w:t>
      </w:r>
    </w:p>
    <w:p>
      <w:pPr>
        <w:spacing w:line="360" w:lineRule="auto"/>
        <w:ind w:firstLine="440" w:firstLineChars="200"/>
        <w:rPr>
          <w:rFonts w:ascii="宋体" w:hAnsi="宋体" w:cs="宋体"/>
          <w:bCs/>
          <w:sz w:val="22"/>
        </w:rPr>
      </w:pPr>
      <w:r>
        <w:rPr>
          <w:rFonts w:hint="eastAsia" w:ascii="宋体" w:hAnsi="宋体" w:cs="宋体"/>
          <w:bCs/>
          <w:sz w:val="22"/>
        </w:rPr>
        <w:t>1.绩效评价指标确定的原则及绩效评价标准</w:t>
      </w:r>
    </w:p>
    <w:p>
      <w:pPr>
        <w:spacing w:line="360" w:lineRule="auto"/>
        <w:ind w:firstLine="440" w:firstLineChars="200"/>
        <w:rPr>
          <w:rFonts w:ascii="宋体" w:hAnsi="宋体" w:cs="宋体"/>
          <w:bCs/>
          <w:sz w:val="22"/>
        </w:rPr>
      </w:pPr>
      <w:r>
        <w:rPr>
          <w:rFonts w:hint="eastAsia" w:ascii="宋体" w:hAnsi="宋体" w:cs="宋体"/>
          <w:bCs/>
          <w:sz w:val="22"/>
        </w:rPr>
        <w:t>绩效评价指标的确定应当遵循相关性、重要性、可比性、系统性、经济性原则。本次绩效评价采用计划标准。计划标准指以预先制定的目标、计划、预算、定额等作为评价标准。</w:t>
      </w:r>
    </w:p>
    <w:p>
      <w:pPr>
        <w:spacing w:line="360" w:lineRule="auto"/>
        <w:ind w:firstLine="440" w:firstLineChars="200"/>
        <w:rPr>
          <w:rFonts w:ascii="宋体" w:hAnsi="宋体" w:cs="宋体"/>
          <w:bCs/>
          <w:sz w:val="22"/>
        </w:rPr>
      </w:pPr>
      <w:r>
        <w:rPr>
          <w:rFonts w:ascii="宋体" w:hAnsi="宋体" w:cs="宋体"/>
          <w:bCs/>
          <w:sz w:val="22"/>
        </w:rPr>
        <w:t>2</w:t>
      </w:r>
      <w:r>
        <w:rPr>
          <w:rFonts w:hint="eastAsia" w:ascii="宋体" w:hAnsi="宋体" w:cs="宋体"/>
          <w:bCs/>
          <w:sz w:val="22"/>
        </w:rPr>
        <w:t>.绩效评价指标体系设定</w:t>
      </w:r>
    </w:p>
    <w:p>
      <w:pPr>
        <w:spacing w:line="360" w:lineRule="auto"/>
        <w:ind w:firstLine="440" w:firstLineChars="200"/>
        <w:rPr>
          <w:rFonts w:ascii="宋体" w:hAnsi="宋体" w:cs="宋体"/>
          <w:bCs/>
          <w:sz w:val="22"/>
        </w:rPr>
      </w:pPr>
      <w:r>
        <w:rPr>
          <w:rFonts w:hint="eastAsia" w:ascii="宋体" w:hAnsi="宋体" w:cs="宋体"/>
          <w:bCs/>
          <w:sz w:val="22"/>
        </w:rPr>
        <w:t>本次评价指标体系从项目决策（项目立项、绩效目标、资金分配）、项目管理（资金到位、资金管理、组织实施）、项目绩效（产出、社会、经济效益、满意度）等三大方面采用计划标准设定，涵盖了财政资金使用全过程。根据绩效评价原则及各项资金特征，结合项目目标，设定了定性指标与定量指标，通过分析评分的方式全面评价项目决策、项目管理、和项目绩效。</w:t>
      </w:r>
    </w:p>
    <w:p>
      <w:pPr>
        <w:adjustRightInd w:val="0"/>
        <w:snapToGrid w:val="0"/>
        <w:spacing w:before="156" w:beforeLines="50" w:line="360" w:lineRule="auto"/>
        <w:ind w:firstLine="442" w:firstLineChars="200"/>
        <w:jc w:val="left"/>
        <w:outlineLvl w:val="1"/>
        <w:rPr>
          <w:rFonts w:ascii="宋体" w:hAnsi="宋体" w:cs="宋体"/>
          <w:b/>
          <w:bCs/>
          <w:sz w:val="22"/>
        </w:rPr>
      </w:pPr>
      <w:r>
        <w:rPr>
          <w:rFonts w:hint="eastAsia" w:ascii="宋体" w:hAnsi="宋体" w:cs="宋体"/>
          <w:b/>
          <w:bCs/>
          <w:sz w:val="22"/>
        </w:rPr>
        <w:t>（六）评价组织过程</w:t>
      </w:r>
    </w:p>
    <w:p>
      <w:pPr>
        <w:spacing w:line="360" w:lineRule="auto"/>
        <w:ind w:firstLine="440" w:firstLineChars="200"/>
        <w:rPr>
          <w:rFonts w:ascii="宋体" w:hAnsi="宋体" w:cs="宋体"/>
          <w:bCs/>
          <w:sz w:val="22"/>
        </w:rPr>
      </w:pPr>
      <w:r>
        <w:rPr>
          <w:rFonts w:ascii="宋体" w:hAnsi="宋体" w:cs="宋体"/>
          <w:bCs/>
          <w:sz w:val="22"/>
        </w:rPr>
        <w:t>1.</w:t>
      </w:r>
      <w:r>
        <w:rPr>
          <w:rFonts w:hint="eastAsia" w:ascii="宋体" w:hAnsi="宋体" w:cs="宋体"/>
          <w:bCs/>
          <w:sz w:val="22"/>
        </w:rPr>
        <w:t>前期准备</w:t>
      </w:r>
    </w:p>
    <w:p>
      <w:pPr>
        <w:spacing w:line="360" w:lineRule="auto"/>
        <w:ind w:firstLine="440" w:firstLineChars="200"/>
        <w:rPr>
          <w:rFonts w:ascii="宋体" w:hAnsi="宋体" w:cs="宋体"/>
          <w:bCs/>
          <w:sz w:val="22"/>
        </w:rPr>
      </w:pPr>
      <w:r>
        <w:rPr>
          <w:rFonts w:hint="eastAsia" w:ascii="宋体" w:hAnsi="宋体" w:cs="宋体"/>
          <w:bCs/>
          <w:sz w:val="22"/>
        </w:rPr>
        <w:t>评审项目组通过对评价对象前期调研，确定了评价的目的、方法以及评价的原则，根据被评价项目的内容和特征制定了评价指标体系及评价标准以及评价实施方案，确定所需资料清单、社会效益调查问卷，由湖北省知识产权局进行前期资料准备。</w:t>
      </w:r>
    </w:p>
    <w:p>
      <w:pPr>
        <w:spacing w:line="360" w:lineRule="auto"/>
        <w:ind w:firstLine="440" w:firstLineChars="200"/>
        <w:rPr>
          <w:rFonts w:ascii="宋体" w:hAnsi="宋体" w:cs="宋体"/>
          <w:bCs/>
          <w:sz w:val="22"/>
        </w:rPr>
      </w:pPr>
      <w:r>
        <w:rPr>
          <w:rFonts w:ascii="宋体" w:hAnsi="宋体" w:cs="宋体"/>
          <w:bCs/>
          <w:sz w:val="22"/>
        </w:rPr>
        <w:t>2.</w:t>
      </w:r>
      <w:r>
        <w:rPr>
          <w:rFonts w:hint="eastAsia" w:ascii="宋体" w:hAnsi="宋体" w:cs="宋体"/>
          <w:bCs/>
          <w:sz w:val="22"/>
        </w:rPr>
        <w:t>组织实施</w:t>
      </w:r>
    </w:p>
    <w:p>
      <w:pPr>
        <w:spacing w:line="360" w:lineRule="auto"/>
        <w:ind w:firstLine="440" w:firstLineChars="200"/>
        <w:rPr>
          <w:rFonts w:ascii="宋体" w:hAnsi="宋体" w:cs="宋体"/>
          <w:bCs/>
          <w:sz w:val="22"/>
        </w:rPr>
      </w:pPr>
      <w:r>
        <w:rPr>
          <w:rFonts w:hint="eastAsia" w:ascii="宋体" w:hAnsi="宋体" w:cs="宋体"/>
          <w:bCs/>
          <w:sz w:val="22"/>
        </w:rPr>
        <w:t>根据评审工作方案，对服务对象进行现场评审和调查，进行数据采集，完成数据核实和分析，获取各项绩效评价指标的相关数据资料，在社会效益及满意度调查方面，评审组进行社会调查，广泛听取意见和建议，共收集有效调查问卷</w:t>
      </w:r>
      <w:r>
        <w:rPr>
          <w:rFonts w:ascii="宋体" w:hAnsi="宋体" w:cs="宋体"/>
          <w:bCs/>
          <w:sz w:val="22"/>
        </w:rPr>
        <w:t>163</w:t>
      </w:r>
      <w:r>
        <w:rPr>
          <w:rFonts w:hint="eastAsia" w:ascii="宋体" w:hAnsi="宋体" w:cs="宋体"/>
          <w:bCs/>
          <w:sz w:val="22"/>
        </w:rPr>
        <w:t>份。</w:t>
      </w:r>
    </w:p>
    <w:p>
      <w:pPr>
        <w:spacing w:line="360" w:lineRule="auto"/>
        <w:ind w:firstLine="440" w:firstLineChars="200"/>
        <w:rPr>
          <w:rFonts w:ascii="宋体" w:hAnsi="宋体" w:cs="宋体"/>
          <w:bCs/>
          <w:sz w:val="22"/>
        </w:rPr>
      </w:pPr>
      <w:r>
        <w:rPr>
          <w:rFonts w:hint="eastAsia" w:ascii="宋体" w:hAnsi="宋体" w:cs="宋体"/>
          <w:bCs/>
          <w:sz w:val="22"/>
        </w:rPr>
        <w:t>3.分析评价形成报告</w:t>
      </w:r>
    </w:p>
    <w:p>
      <w:pPr>
        <w:spacing w:line="360" w:lineRule="auto"/>
        <w:ind w:firstLine="440" w:firstLineChars="200"/>
        <w:rPr>
          <w:rFonts w:ascii="宋体" w:hAnsi="宋体" w:cs="宋体"/>
          <w:sz w:val="22"/>
        </w:rPr>
      </w:pPr>
      <w:r>
        <w:rPr>
          <w:rFonts w:hint="eastAsia" w:ascii="宋体" w:hAnsi="宋体" w:cs="宋体"/>
          <w:bCs/>
          <w:sz w:val="22"/>
        </w:rPr>
        <w:t>评审项目组按照绩效评价的原则和规范，对取得的资料进行审查核实，对采集的数据进行分析，按照绩效评价指标评分表逐项进行评分、分析，汇总各方评价结果，综合分析并形成评价结论。项目组撰写绩效评价报告，并在项目组内进行讨论修改。</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项目实施情况及绩效目标完成情况</w:t>
      </w:r>
    </w:p>
    <w:p>
      <w:pPr>
        <w:pStyle w:val="24"/>
        <w:numPr>
          <w:ilvl w:val="0"/>
          <w:numId w:val="4"/>
        </w:numPr>
        <w:spacing w:line="360" w:lineRule="auto"/>
        <w:ind w:firstLineChars="0"/>
        <w:rPr>
          <w:rFonts w:ascii="宋体" w:hAnsi="宋体" w:cs="宋体"/>
          <w:bCs/>
          <w:sz w:val="22"/>
        </w:rPr>
      </w:pPr>
      <w:r>
        <w:rPr>
          <w:rFonts w:hint="eastAsia" w:ascii="宋体" w:hAnsi="宋体" w:cs="宋体"/>
          <w:bCs/>
          <w:sz w:val="22"/>
        </w:rPr>
        <w:t>项目预算资金使用及资金管理情况</w:t>
      </w:r>
    </w:p>
    <w:p>
      <w:pPr>
        <w:spacing w:line="360" w:lineRule="auto"/>
        <w:ind w:firstLine="440" w:firstLineChars="200"/>
        <w:rPr>
          <w:rFonts w:ascii="宋体" w:hAnsi="宋体" w:cs="宋体"/>
          <w:bCs/>
          <w:sz w:val="20"/>
          <w:szCs w:val="20"/>
        </w:rPr>
      </w:pPr>
      <w:r>
        <w:rPr>
          <w:rFonts w:hint="eastAsia" w:ascii="宋体" w:hAnsi="宋体" w:cs="宋体"/>
          <w:bCs/>
          <w:sz w:val="22"/>
        </w:rPr>
        <w:t>1</w:t>
      </w:r>
      <w:r>
        <w:rPr>
          <w:rFonts w:ascii="宋体" w:hAnsi="宋体" w:cs="宋体"/>
          <w:bCs/>
          <w:sz w:val="22"/>
        </w:rPr>
        <w:t>.</w:t>
      </w:r>
      <w:r>
        <w:rPr>
          <w:rFonts w:hint="eastAsia" w:ascii="宋体" w:hAnsi="宋体" w:cs="宋体"/>
          <w:bCs/>
          <w:sz w:val="22"/>
        </w:rPr>
        <w:t>项目预算资金使用情况</w:t>
      </w:r>
    </w:p>
    <w:p>
      <w:pPr>
        <w:spacing w:line="360" w:lineRule="auto"/>
        <w:ind w:firstLine="440" w:firstLineChars="200"/>
        <w:rPr>
          <w:rFonts w:ascii="宋体" w:hAnsi="宋体" w:cs="宋体"/>
          <w:bCs/>
          <w:sz w:val="22"/>
        </w:rPr>
      </w:pPr>
      <w:r>
        <w:rPr>
          <w:rFonts w:hint="eastAsia" w:ascii="宋体" w:hAnsi="宋体" w:cs="宋体"/>
          <w:bCs/>
          <w:sz w:val="22"/>
        </w:rPr>
        <w:t>“三大工程”项目2021年度预算总额为2</w:t>
      </w:r>
      <w:r>
        <w:rPr>
          <w:rFonts w:ascii="宋体" w:hAnsi="宋体" w:cs="宋体"/>
          <w:bCs/>
          <w:sz w:val="22"/>
        </w:rPr>
        <w:t>190</w:t>
      </w:r>
      <w:r>
        <w:rPr>
          <w:rFonts w:hint="eastAsia" w:ascii="宋体" w:hAnsi="宋体" w:cs="宋体"/>
          <w:bCs/>
          <w:sz w:val="22"/>
        </w:rPr>
        <w:t>万元，全部为财政资金，全部到位，到位率100%。2</w:t>
      </w:r>
      <w:r>
        <w:rPr>
          <w:rFonts w:ascii="宋体" w:hAnsi="宋体" w:cs="宋体"/>
          <w:bCs/>
          <w:sz w:val="22"/>
        </w:rPr>
        <w:t>021</w:t>
      </w:r>
      <w:r>
        <w:rPr>
          <w:rFonts w:hint="eastAsia" w:ascii="宋体" w:hAnsi="宋体" w:cs="宋体"/>
          <w:bCs/>
          <w:sz w:val="22"/>
        </w:rPr>
        <w:t>年度实际使用资金合计2</w:t>
      </w:r>
      <w:r>
        <w:rPr>
          <w:rFonts w:ascii="宋体" w:hAnsi="宋体" w:cs="宋体"/>
          <w:bCs/>
          <w:sz w:val="22"/>
        </w:rPr>
        <w:t>105</w:t>
      </w:r>
      <w:r>
        <w:rPr>
          <w:rFonts w:hint="eastAsia" w:ascii="宋体" w:hAnsi="宋体" w:cs="宋体"/>
          <w:bCs/>
          <w:sz w:val="22"/>
        </w:rPr>
        <w:t>万元，预算执行率为</w:t>
      </w:r>
      <w:r>
        <w:rPr>
          <w:rFonts w:ascii="宋体" w:hAnsi="宋体" w:cs="宋体"/>
          <w:bCs/>
          <w:sz w:val="22"/>
        </w:rPr>
        <w:t>96.12</w:t>
      </w:r>
      <w:r>
        <w:rPr>
          <w:rFonts w:hint="eastAsia" w:ascii="宋体" w:hAnsi="宋体" w:cs="宋体"/>
          <w:bCs/>
          <w:sz w:val="22"/>
        </w:rPr>
        <w:t>%。按照具体项目细分：</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64"/>
        <w:gridCol w:w="1134"/>
        <w:gridCol w:w="1134"/>
        <w:gridCol w:w="20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exact"/>
          <w:jc w:val="center"/>
        </w:trPr>
        <w:tc>
          <w:tcPr>
            <w:tcW w:w="3964" w:type="dxa"/>
            <w:vAlign w:val="center"/>
          </w:tcPr>
          <w:p>
            <w:pPr>
              <w:spacing w:line="360" w:lineRule="auto"/>
              <w:jc w:val="center"/>
              <w:rPr>
                <w:rFonts w:ascii="宋体" w:hAnsi="宋体" w:cs="宋体"/>
                <w:b/>
                <w:bCs/>
                <w:sz w:val="20"/>
                <w:szCs w:val="20"/>
              </w:rPr>
            </w:pPr>
            <w:r>
              <w:rPr>
                <w:rFonts w:hint="eastAsia" w:ascii="宋体" w:hAnsi="宋体" w:cs="宋体"/>
                <w:b/>
                <w:bCs/>
                <w:sz w:val="20"/>
                <w:szCs w:val="20"/>
              </w:rPr>
              <w:t>项目</w:t>
            </w:r>
          </w:p>
        </w:tc>
        <w:tc>
          <w:tcPr>
            <w:tcW w:w="1134" w:type="dxa"/>
            <w:vAlign w:val="center"/>
          </w:tcPr>
          <w:p>
            <w:pPr>
              <w:spacing w:line="360" w:lineRule="auto"/>
              <w:jc w:val="center"/>
              <w:rPr>
                <w:rFonts w:ascii="宋体" w:hAnsi="宋体" w:cs="宋体"/>
                <w:b/>
                <w:bCs/>
                <w:sz w:val="20"/>
                <w:szCs w:val="20"/>
              </w:rPr>
            </w:pPr>
            <w:r>
              <w:rPr>
                <w:rFonts w:hint="eastAsia" w:ascii="宋体" w:hAnsi="宋体" w:cs="宋体"/>
                <w:b/>
                <w:bCs/>
                <w:sz w:val="20"/>
                <w:szCs w:val="20"/>
              </w:rPr>
              <w:t>预算金额</w:t>
            </w:r>
          </w:p>
        </w:tc>
        <w:tc>
          <w:tcPr>
            <w:tcW w:w="1134" w:type="dxa"/>
            <w:vAlign w:val="center"/>
          </w:tcPr>
          <w:p>
            <w:pPr>
              <w:spacing w:line="360" w:lineRule="auto"/>
              <w:jc w:val="center"/>
              <w:rPr>
                <w:rFonts w:ascii="宋体" w:hAnsi="宋体" w:cs="宋体"/>
                <w:b/>
                <w:bCs/>
                <w:sz w:val="20"/>
                <w:szCs w:val="20"/>
              </w:rPr>
            </w:pPr>
            <w:r>
              <w:rPr>
                <w:rFonts w:hint="eastAsia" w:ascii="宋体" w:hAnsi="宋体" w:cs="宋体"/>
                <w:b/>
                <w:bCs/>
                <w:sz w:val="20"/>
                <w:szCs w:val="20"/>
              </w:rPr>
              <w:t>执行金额</w:t>
            </w:r>
          </w:p>
        </w:tc>
        <w:tc>
          <w:tcPr>
            <w:tcW w:w="2070" w:type="dxa"/>
            <w:vAlign w:val="center"/>
          </w:tcPr>
          <w:p>
            <w:pPr>
              <w:spacing w:line="360" w:lineRule="auto"/>
              <w:jc w:val="center"/>
              <w:rPr>
                <w:rFonts w:ascii="宋体" w:hAnsi="宋体" w:cs="宋体"/>
                <w:b/>
                <w:bCs/>
                <w:sz w:val="16"/>
                <w:szCs w:val="20"/>
              </w:rPr>
            </w:pPr>
            <w:r>
              <w:rPr>
                <w:rFonts w:hint="eastAsia" w:ascii="宋体" w:hAnsi="宋体" w:cs="宋体"/>
                <w:b/>
                <w:bCs/>
                <w:sz w:val="16"/>
                <w:szCs w:val="20"/>
              </w:rPr>
              <w:t>差异金额</w:t>
            </w:r>
          </w:p>
          <w:p>
            <w:pPr>
              <w:spacing w:line="360" w:lineRule="auto"/>
              <w:jc w:val="center"/>
              <w:rPr>
                <w:rFonts w:ascii="宋体" w:hAnsi="宋体" w:cs="宋体"/>
                <w:b/>
                <w:bCs/>
                <w:sz w:val="16"/>
                <w:szCs w:val="20"/>
              </w:rPr>
            </w:pPr>
            <w:r>
              <w:rPr>
                <w:rFonts w:hint="eastAsia" w:ascii="宋体" w:hAnsi="宋体" w:cs="宋体"/>
                <w:b/>
                <w:bCs/>
                <w:sz w:val="16"/>
                <w:szCs w:val="20"/>
              </w:rPr>
              <w:t>（执行金额-预算金额）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3964" w:type="dxa"/>
          </w:tcPr>
          <w:p>
            <w:pPr>
              <w:spacing w:line="360" w:lineRule="auto"/>
              <w:rPr>
                <w:rFonts w:ascii="宋体" w:hAnsi="宋体" w:cs="宋体"/>
                <w:bCs/>
                <w:sz w:val="20"/>
                <w:szCs w:val="20"/>
              </w:rPr>
            </w:pPr>
            <w:r>
              <w:rPr>
                <w:rFonts w:hint="eastAsia" w:ascii="宋体" w:hAnsi="宋体" w:cs="宋体"/>
                <w:bCs/>
                <w:sz w:val="20"/>
                <w:szCs w:val="20"/>
              </w:rPr>
              <w:t>高价值知识产权培育工程（专利类）</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980</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820</w:t>
            </w:r>
          </w:p>
        </w:tc>
        <w:tc>
          <w:tcPr>
            <w:tcW w:w="2070"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-160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3964" w:type="dxa"/>
          </w:tcPr>
          <w:p>
            <w:pPr>
              <w:spacing w:line="360" w:lineRule="auto"/>
              <w:rPr>
                <w:rFonts w:ascii="宋体" w:hAnsi="宋体" w:cs="宋体"/>
                <w:bCs/>
                <w:sz w:val="20"/>
                <w:szCs w:val="20"/>
              </w:rPr>
            </w:pPr>
            <w:r>
              <w:rPr>
                <w:rFonts w:hint="eastAsia" w:ascii="宋体" w:hAnsi="宋体" w:cs="宋体"/>
                <w:bCs/>
                <w:sz w:val="20"/>
                <w:szCs w:val="20"/>
              </w:rPr>
              <w:t>重点企业知识产权海外护航工程（专利类）知识产权运用示范工程（专利类）</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620</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630</w:t>
            </w:r>
          </w:p>
        </w:tc>
        <w:tc>
          <w:tcPr>
            <w:tcW w:w="2070"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3964" w:type="dxa"/>
          </w:tcPr>
          <w:p>
            <w:pPr>
              <w:spacing w:line="360" w:lineRule="auto"/>
              <w:rPr>
                <w:rFonts w:ascii="宋体" w:hAnsi="宋体" w:cs="宋体"/>
                <w:bCs/>
                <w:sz w:val="20"/>
                <w:szCs w:val="20"/>
              </w:rPr>
            </w:pPr>
            <w:r>
              <w:rPr>
                <w:rFonts w:hint="eastAsia" w:ascii="宋体" w:hAnsi="宋体" w:cs="宋体"/>
                <w:bCs/>
                <w:sz w:val="20"/>
                <w:szCs w:val="20"/>
              </w:rPr>
              <w:t>知识产权运用示范工程（专利类）</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360</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435</w:t>
            </w:r>
          </w:p>
        </w:tc>
        <w:tc>
          <w:tcPr>
            <w:tcW w:w="2070"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3964" w:type="dxa"/>
          </w:tcPr>
          <w:p>
            <w:pPr>
              <w:spacing w:line="360" w:lineRule="auto"/>
              <w:rPr>
                <w:rFonts w:ascii="宋体" w:hAnsi="宋体" w:cs="宋体"/>
                <w:bCs/>
                <w:sz w:val="20"/>
                <w:szCs w:val="20"/>
              </w:rPr>
            </w:pPr>
            <w:r>
              <w:rPr>
                <w:rFonts w:hint="eastAsia" w:ascii="宋体" w:hAnsi="宋体" w:cs="宋体"/>
                <w:bCs/>
                <w:sz w:val="20"/>
                <w:szCs w:val="20"/>
              </w:rPr>
              <w:t>高价值知识产权培育工程（品牌类）</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40</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40</w:t>
            </w:r>
          </w:p>
        </w:tc>
        <w:tc>
          <w:tcPr>
            <w:tcW w:w="2070"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3964" w:type="dxa"/>
          </w:tcPr>
          <w:p>
            <w:pPr>
              <w:spacing w:line="360" w:lineRule="auto"/>
              <w:rPr>
                <w:rFonts w:ascii="宋体" w:hAnsi="宋体" w:cs="宋体"/>
                <w:bCs/>
                <w:sz w:val="20"/>
                <w:szCs w:val="20"/>
              </w:rPr>
            </w:pPr>
            <w:r>
              <w:rPr>
                <w:rFonts w:hint="eastAsia" w:ascii="宋体" w:hAnsi="宋体" w:cs="宋体"/>
                <w:bCs/>
                <w:sz w:val="20"/>
                <w:szCs w:val="20"/>
              </w:rPr>
              <w:t>重点企业知识产权海外护航工程（品牌类）</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70</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60</w:t>
            </w:r>
          </w:p>
        </w:tc>
        <w:tc>
          <w:tcPr>
            <w:tcW w:w="2070"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3964" w:type="dxa"/>
          </w:tcPr>
          <w:p>
            <w:pPr>
              <w:spacing w:line="360" w:lineRule="auto"/>
              <w:rPr>
                <w:rFonts w:ascii="宋体" w:hAnsi="宋体" w:cs="宋体"/>
                <w:bCs/>
                <w:sz w:val="20"/>
                <w:szCs w:val="20"/>
              </w:rPr>
            </w:pPr>
            <w:r>
              <w:rPr>
                <w:rFonts w:hint="eastAsia" w:ascii="宋体" w:hAnsi="宋体" w:cs="宋体"/>
                <w:bCs/>
                <w:sz w:val="20"/>
                <w:szCs w:val="20"/>
              </w:rPr>
              <w:t>知识产权运用示范工程（品牌类）</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120</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120</w:t>
            </w:r>
          </w:p>
        </w:tc>
        <w:tc>
          <w:tcPr>
            <w:tcW w:w="2070"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3964" w:type="dxa"/>
          </w:tcPr>
          <w:p>
            <w:pPr>
              <w:spacing w:line="360" w:lineRule="auto"/>
              <w:jc w:val="center"/>
              <w:rPr>
                <w:rFonts w:ascii="宋体" w:hAnsi="宋体" w:cs="宋体"/>
                <w:bCs/>
                <w:sz w:val="20"/>
                <w:szCs w:val="20"/>
              </w:rPr>
            </w:pPr>
            <w:r>
              <w:rPr>
                <w:rFonts w:hint="eastAsia" w:ascii="宋体" w:hAnsi="宋体" w:cs="宋体"/>
                <w:bCs/>
                <w:sz w:val="20"/>
                <w:szCs w:val="20"/>
              </w:rPr>
              <w:t xml:space="preserve">合 </w:t>
            </w:r>
            <w:r>
              <w:rPr>
                <w:rFonts w:ascii="宋体" w:hAnsi="宋体" w:cs="宋体"/>
                <w:bCs/>
                <w:sz w:val="20"/>
                <w:szCs w:val="20"/>
              </w:rPr>
              <w:t xml:space="preserve">   </w:t>
            </w:r>
            <w:r>
              <w:rPr>
                <w:rFonts w:hint="eastAsia" w:ascii="宋体" w:hAnsi="宋体" w:cs="宋体"/>
                <w:bCs/>
                <w:sz w:val="20"/>
                <w:szCs w:val="20"/>
              </w:rPr>
              <w:t>计</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2190</w:t>
            </w:r>
          </w:p>
        </w:tc>
        <w:tc>
          <w:tcPr>
            <w:tcW w:w="1134"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2105</w:t>
            </w:r>
          </w:p>
        </w:tc>
        <w:tc>
          <w:tcPr>
            <w:tcW w:w="2070" w:type="dxa"/>
            <w:vAlign w:val="bottom"/>
          </w:tcPr>
          <w:p>
            <w:pPr>
              <w:spacing w:line="360" w:lineRule="auto"/>
              <w:jc w:val="center"/>
              <w:rPr>
                <w:rFonts w:ascii="宋体" w:hAnsi="宋体" w:cs="宋体"/>
                <w:bCs/>
                <w:sz w:val="20"/>
                <w:szCs w:val="20"/>
              </w:rPr>
            </w:pPr>
            <w:r>
              <w:rPr>
                <w:rFonts w:hint="eastAsia" w:ascii="宋体" w:hAnsi="宋体"/>
                <w:color w:val="000000"/>
                <w:sz w:val="20"/>
                <w:szCs w:val="20"/>
              </w:rPr>
              <w:t>-85</w:t>
            </w:r>
          </w:p>
        </w:tc>
      </w:tr>
    </w:tbl>
    <w:p>
      <w:pPr>
        <w:spacing w:line="360" w:lineRule="auto"/>
        <w:ind w:firstLine="440" w:firstLineChars="200"/>
        <w:rPr>
          <w:rFonts w:ascii="宋体" w:hAnsi="宋体" w:cs="宋体"/>
          <w:bCs/>
          <w:sz w:val="22"/>
        </w:rPr>
      </w:pPr>
      <w:r>
        <w:rPr>
          <w:rFonts w:ascii="宋体" w:hAnsi="宋体" w:cs="宋体"/>
          <w:bCs/>
          <w:sz w:val="22"/>
        </w:rPr>
        <w:t>2.</w:t>
      </w:r>
      <w:r>
        <w:rPr>
          <w:rFonts w:hint="eastAsia" w:ascii="宋体" w:hAnsi="宋体" w:cs="宋体"/>
          <w:bCs/>
          <w:sz w:val="22"/>
        </w:rPr>
        <w:t>项目资金使用管理制度</w:t>
      </w:r>
    </w:p>
    <w:p>
      <w:pPr>
        <w:spacing w:line="360" w:lineRule="auto"/>
        <w:ind w:firstLine="440" w:firstLineChars="200"/>
        <w:rPr>
          <w:rFonts w:ascii="宋体" w:hAnsi="宋体" w:cs="宋体"/>
          <w:bCs/>
          <w:sz w:val="22"/>
        </w:rPr>
      </w:pPr>
      <w:r>
        <w:rPr>
          <w:rFonts w:hint="eastAsia" w:ascii="宋体" w:hAnsi="宋体" w:cs="宋体"/>
          <w:bCs/>
          <w:sz w:val="22"/>
        </w:rPr>
        <w:t>湖北省知识产权局以《中华人民共和国会计法》、《中华人民共和国预算法》、《行政单位财务规则》、《行政单位会计制度》、《湖北省政府采购管理暂行办法》、《湖北省政府采购招标投标管理暂行办法》等法律、法规及财经政策的规定，结合工作实际情况，在此基础上制定了《湖北省知识产权局财务管理办法》、《湖北省高价值知识产权培育工程项目管理办法（试行）》、《湖北省知识产权运用示范工程管理办法（试行）》、《湖北省知识产权运用示范工程实施方案》等一系列项目管理制度和实施方案，并与湖北省财政厅联合制定了《湖北省知识产权转化引导与发展专项资金管理办法》，上述制度对项目的申报、审批、执行与验收，专项资金适用范围，资金支持方式，管理机构和职责等方面进行了规定，在一定程度上保障了项目顺利实施。</w:t>
      </w:r>
    </w:p>
    <w:p>
      <w:pPr>
        <w:spacing w:line="360" w:lineRule="auto"/>
        <w:ind w:firstLine="440" w:firstLineChars="200"/>
        <w:rPr>
          <w:rFonts w:ascii="宋体" w:hAnsi="宋体" w:cs="宋体"/>
          <w:bCs/>
          <w:sz w:val="22"/>
        </w:rPr>
      </w:pPr>
      <w:r>
        <w:rPr>
          <w:rFonts w:hint="eastAsia" w:ascii="宋体" w:hAnsi="宋体" w:cs="宋体"/>
          <w:bCs/>
          <w:sz w:val="22"/>
        </w:rPr>
        <w:t>2021年2月，根据湖北省财政厅《省财政厅关于批复2021年省本级专项和省对下转移支付项目预算的函》（鄂财行发[2021]2号）文件，经湖北省十三届人民代表大会第五次会议审查批准，对湖北省知识产权局批复的转移支付知识产权转化引导及发展专项资金2250万元，其中三大工程预算批复资金为2</w:t>
      </w:r>
      <w:r>
        <w:rPr>
          <w:rFonts w:ascii="宋体" w:hAnsi="宋体" w:cs="宋体"/>
          <w:bCs/>
          <w:sz w:val="22"/>
        </w:rPr>
        <w:t>190</w:t>
      </w:r>
      <w:r>
        <w:rPr>
          <w:rFonts w:hint="eastAsia" w:ascii="宋体" w:hAnsi="宋体" w:cs="宋体"/>
          <w:bCs/>
          <w:sz w:val="22"/>
        </w:rPr>
        <w:t>万元。</w:t>
      </w:r>
      <w:r>
        <w:rPr>
          <w:rFonts w:ascii="宋体" w:hAnsi="宋体" w:cs="宋体"/>
          <w:bCs/>
          <w:sz w:val="22"/>
        </w:rPr>
        <w:t xml:space="preserve"> </w:t>
      </w:r>
    </w:p>
    <w:p>
      <w:pPr>
        <w:pStyle w:val="24"/>
        <w:numPr>
          <w:ilvl w:val="0"/>
          <w:numId w:val="4"/>
        </w:numPr>
        <w:spacing w:line="360" w:lineRule="auto"/>
        <w:ind w:firstLineChars="0"/>
        <w:rPr>
          <w:rFonts w:ascii="宋体" w:hAnsi="宋体" w:cs="宋体"/>
          <w:bCs/>
          <w:sz w:val="22"/>
        </w:rPr>
      </w:pPr>
      <w:r>
        <w:rPr>
          <w:rFonts w:hint="eastAsia" w:ascii="宋体" w:hAnsi="宋体" w:cs="宋体"/>
          <w:bCs/>
          <w:sz w:val="22"/>
        </w:rPr>
        <w:t>项目实施过程情况</w:t>
      </w:r>
    </w:p>
    <w:p>
      <w:pPr>
        <w:spacing w:line="360" w:lineRule="auto"/>
        <w:ind w:left="440"/>
        <w:rPr>
          <w:rFonts w:ascii="宋体" w:hAnsi="宋体" w:cs="宋体"/>
          <w:bCs/>
          <w:sz w:val="22"/>
        </w:rPr>
      </w:pPr>
      <w:r>
        <w:rPr>
          <w:rFonts w:hint="eastAsia" w:ascii="宋体" w:hAnsi="宋体" w:cs="宋体"/>
          <w:bCs/>
          <w:sz w:val="22"/>
        </w:rPr>
        <w:t>1</w:t>
      </w:r>
      <w:r>
        <w:rPr>
          <w:rFonts w:ascii="宋体" w:hAnsi="宋体" w:cs="宋体"/>
          <w:bCs/>
          <w:sz w:val="22"/>
        </w:rPr>
        <w:t>.</w:t>
      </w:r>
      <w:r>
        <w:rPr>
          <w:rFonts w:hint="eastAsia" w:ascii="宋体" w:hAnsi="宋体" w:cs="宋体"/>
          <w:bCs/>
          <w:sz w:val="22"/>
        </w:rPr>
        <w:t>项目实施组织机构管理</w:t>
      </w:r>
    </w:p>
    <w:p>
      <w:pPr>
        <w:spacing w:line="360" w:lineRule="auto"/>
        <w:ind w:firstLine="440" w:firstLineChars="200"/>
        <w:rPr>
          <w:rFonts w:ascii="宋体" w:hAnsi="宋体" w:cs="宋体"/>
          <w:bCs/>
          <w:sz w:val="22"/>
        </w:rPr>
      </w:pPr>
      <w:r>
        <w:rPr>
          <w:rFonts w:hint="eastAsia" w:ascii="宋体" w:hAnsi="宋体" w:cs="宋体"/>
          <w:bCs/>
          <w:sz w:val="22"/>
        </w:rPr>
        <w:t>为确保项目顺利实施，湖北省知识产权局根据部门职责和分工，将本项目中专利类和商标类分别由运用促进处、商标和地理标志处进行管理，并细化管理归口，将专利类细分为专利类高等学校（科研院所）和专利类企业项目。</w:t>
      </w:r>
    </w:p>
    <w:p>
      <w:pPr>
        <w:spacing w:line="360" w:lineRule="auto"/>
        <w:ind w:firstLine="440" w:firstLineChars="200"/>
        <w:rPr>
          <w:rFonts w:ascii="宋体" w:hAnsi="宋体" w:cs="宋体"/>
          <w:bCs/>
          <w:sz w:val="22"/>
        </w:rPr>
      </w:pPr>
      <w:r>
        <w:rPr>
          <w:rFonts w:hint="eastAsia" w:ascii="宋体" w:hAnsi="宋体" w:cs="宋体"/>
          <w:bCs/>
          <w:sz w:val="22"/>
        </w:rPr>
        <w:t>2</w:t>
      </w:r>
      <w:r>
        <w:rPr>
          <w:rFonts w:ascii="宋体" w:hAnsi="宋体" w:cs="宋体"/>
          <w:bCs/>
          <w:sz w:val="22"/>
        </w:rPr>
        <w:t>.</w:t>
      </w:r>
      <w:r>
        <w:rPr>
          <w:rFonts w:hint="eastAsia" w:ascii="宋体" w:hAnsi="宋体" w:cs="宋体"/>
          <w:bCs/>
          <w:sz w:val="22"/>
        </w:rPr>
        <w:t>项目实施过程</w:t>
      </w:r>
    </w:p>
    <w:p>
      <w:pPr>
        <w:spacing w:line="360" w:lineRule="auto"/>
        <w:ind w:firstLine="440" w:firstLineChars="200"/>
        <w:rPr>
          <w:rFonts w:ascii="宋体" w:hAnsi="宋体" w:cs="宋体"/>
          <w:bCs/>
          <w:sz w:val="22"/>
        </w:rPr>
      </w:pPr>
      <w:r>
        <w:rPr>
          <w:rFonts w:hint="eastAsia" w:ascii="宋体" w:hAnsi="宋体" w:cs="宋体"/>
          <w:bCs/>
          <w:sz w:val="22"/>
        </w:rPr>
        <w:t>湖北省知识产权局按照“申报-评审-公示-确定-验收”等管理流程对各项目进行过程管理，关键管理流程均在湖北省知识产权局在官网公开公示。</w:t>
      </w:r>
    </w:p>
    <w:p>
      <w:pPr>
        <w:spacing w:line="360" w:lineRule="auto"/>
        <w:ind w:firstLine="440" w:firstLineChars="200"/>
        <w:rPr>
          <w:rFonts w:ascii="宋体" w:hAnsi="宋体" w:cs="宋体"/>
          <w:bCs/>
          <w:sz w:val="22"/>
        </w:rPr>
      </w:pPr>
      <w:r>
        <w:rPr>
          <w:rFonts w:hint="eastAsia" w:ascii="宋体" w:hAnsi="宋体" w:cs="宋体"/>
          <w:bCs/>
          <w:sz w:val="22"/>
        </w:rPr>
        <w:t>（1）项目申报环节</w:t>
      </w:r>
    </w:p>
    <w:p>
      <w:pPr>
        <w:spacing w:line="360" w:lineRule="auto"/>
        <w:ind w:firstLine="440" w:firstLineChars="200"/>
        <w:rPr>
          <w:rFonts w:ascii="宋体" w:hAnsi="宋体" w:cs="宋体"/>
          <w:bCs/>
          <w:sz w:val="22"/>
        </w:rPr>
      </w:pPr>
      <w:r>
        <w:rPr>
          <w:rFonts w:hint="eastAsia" w:ascii="宋体" w:hAnsi="宋体" w:cs="宋体"/>
          <w:bCs/>
          <w:sz w:val="22"/>
        </w:rPr>
        <w:t>2020年09月16日，湖北省知识产权局在官网发布《湖北省知识产权局关于印发2021年知识产权“三大工程”项目申报指南的通知》，对项目的申报要求、申报材料及申报时间，具体工作流程等进行明确，并附申报指南和申报书，对申报工作进指导。各项目申报单位按照要求进行申报后，由所负责的处室组织初步筛查及专家评审，形成初步拟立项名单。</w:t>
      </w:r>
    </w:p>
    <w:p>
      <w:pPr>
        <w:spacing w:line="360" w:lineRule="auto"/>
        <w:ind w:firstLine="440" w:firstLineChars="200"/>
        <w:rPr>
          <w:rFonts w:ascii="宋体" w:hAnsi="宋体" w:cs="宋体"/>
          <w:bCs/>
          <w:sz w:val="22"/>
        </w:rPr>
      </w:pPr>
      <w:r>
        <w:rPr>
          <w:rFonts w:hint="eastAsia" w:ascii="宋体" w:hAnsi="宋体" w:cs="宋体"/>
          <w:bCs/>
          <w:sz w:val="22"/>
        </w:rPr>
        <w:t>（2）项目评审环节</w:t>
      </w:r>
    </w:p>
    <w:p>
      <w:pPr>
        <w:spacing w:line="360" w:lineRule="auto"/>
        <w:ind w:firstLine="440" w:firstLineChars="200"/>
        <w:rPr>
          <w:rFonts w:ascii="宋体" w:hAnsi="宋体" w:cs="宋体"/>
          <w:bCs/>
          <w:sz w:val="22"/>
        </w:rPr>
      </w:pPr>
      <w:r>
        <w:rPr>
          <w:rFonts w:hint="eastAsia" w:ascii="宋体" w:hAnsi="宋体" w:cs="宋体"/>
          <w:bCs/>
          <w:sz w:val="22"/>
        </w:rPr>
        <w:t>2021年1月18日，湖北省知识产权局党组书记、局长彭泉同志主持召开省知识产权局局长办公会议。会议审议了2021年度高价值知识产权培育工程（专利类）拟立项项目名单、2021年度重点企业知识产权海外护航工程拟立项项目名单、2021年度知识产权运用示范工程拟立项项目名单、2021年度知识产权“三大工程”（商标类）拟立项项目名单。</w:t>
      </w:r>
    </w:p>
    <w:p>
      <w:pPr>
        <w:spacing w:line="360" w:lineRule="auto"/>
        <w:ind w:firstLine="440" w:firstLineChars="200"/>
        <w:rPr>
          <w:rFonts w:ascii="宋体" w:hAnsi="宋体" w:cs="宋体"/>
          <w:bCs/>
          <w:sz w:val="22"/>
        </w:rPr>
      </w:pPr>
      <w:r>
        <w:rPr>
          <w:rFonts w:hint="eastAsia" w:ascii="宋体" w:hAnsi="宋体" w:cs="宋体"/>
          <w:bCs/>
          <w:sz w:val="22"/>
        </w:rPr>
        <w:t>（3）项目公示环节</w:t>
      </w:r>
    </w:p>
    <w:p>
      <w:pPr>
        <w:spacing w:line="360" w:lineRule="auto"/>
        <w:ind w:firstLine="440" w:firstLineChars="200"/>
        <w:rPr>
          <w:rFonts w:ascii="宋体" w:hAnsi="宋体" w:cs="宋体"/>
          <w:bCs/>
          <w:sz w:val="22"/>
        </w:rPr>
      </w:pPr>
      <w:r>
        <w:rPr>
          <w:rFonts w:hint="eastAsia" w:ascii="宋体" w:hAnsi="宋体" w:cs="宋体"/>
          <w:bCs/>
          <w:sz w:val="22"/>
        </w:rPr>
        <w:t>2021年1月22日，湖北省知识产权局在官网发布《湖北省知识产权局关于2021年知识产权“三大工程”拟立项项目的公示》：根据《湖北省知识产权“三大工程”项目管理办法（试行）》，省知识产权局组织了2021年省知识产权“三大工程”项目的立项申报工作，经审核推荐、形式审查、专家评审和局长办公会审定，对2021年省知识产权“三大工程”拟立项项目予以公示，公示期为5个工作日，公示时间2021年1月22日至1月28日。</w:t>
      </w:r>
    </w:p>
    <w:p>
      <w:pPr>
        <w:spacing w:line="360" w:lineRule="auto"/>
        <w:ind w:firstLine="440" w:firstLineChars="200"/>
        <w:rPr>
          <w:rFonts w:ascii="宋体" w:hAnsi="宋体" w:cs="宋体"/>
          <w:bCs/>
          <w:sz w:val="22"/>
        </w:rPr>
      </w:pPr>
      <w:r>
        <w:rPr>
          <w:rFonts w:hint="eastAsia" w:ascii="宋体" w:hAnsi="宋体" w:cs="宋体"/>
          <w:bCs/>
          <w:sz w:val="22"/>
        </w:rPr>
        <w:t>（4）项目确认环节</w:t>
      </w:r>
    </w:p>
    <w:p>
      <w:pPr>
        <w:spacing w:line="360" w:lineRule="auto"/>
        <w:ind w:firstLine="440" w:firstLineChars="200"/>
        <w:rPr>
          <w:rFonts w:ascii="宋体" w:hAnsi="宋体" w:cs="宋体"/>
          <w:bCs/>
          <w:sz w:val="22"/>
        </w:rPr>
      </w:pPr>
      <w:r>
        <w:rPr>
          <w:rFonts w:hint="eastAsia" w:ascii="宋体" w:hAnsi="宋体" w:cs="宋体"/>
          <w:bCs/>
          <w:sz w:val="22"/>
        </w:rPr>
        <w:t>2021年2月8日，湖北省知识产权局在官网发布《湖北省知识产权局关于下达2021年知识产权“三大工程”项目的通知》（鄂知发〔2021〕2号）。按照《湖北省知识产权转化引导与发展专项资金管理办法》《湖北省知识产权局“三大工程”管理办法（试行）》要求，经组织项目申报、评审和公示，确定2021年湖北省高价值知识产权培育工程、重点企业知识产权海外护航工程、知识产权运用示范工程项目。</w:t>
      </w:r>
    </w:p>
    <w:p>
      <w:pPr>
        <w:spacing w:line="360" w:lineRule="auto"/>
        <w:ind w:firstLine="440" w:firstLineChars="200"/>
        <w:rPr>
          <w:rFonts w:ascii="宋体" w:hAnsi="宋体" w:cs="宋体"/>
          <w:bCs/>
          <w:sz w:val="22"/>
        </w:rPr>
      </w:pPr>
      <w:r>
        <w:rPr>
          <w:rFonts w:hint="eastAsia" w:ascii="宋体" w:hAnsi="宋体" w:cs="宋体"/>
          <w:bCs/>
          <w:sz w:val="22"/>
        </w:rPr>
        <w:t>（5）项目验收环节</w:t>
      </w:r>
    </w:p>
    <w:p>
      <w:pPr>
        <w:spacing w:line="360" w:lineRule="auto"/>
        <w:ind w:firstLine="440" w:firstLineChars="200"/>
        <w:rPr>
          <w:rFonts w:ascii="宋体" w:hAnsi="宋体" w:cs="宋体"/>
          <w:bCs/>
          <w:sz w:val="22"/>
        </w:rPr>
      </w:pPr>
      <w:r>
        <w:rPr>
          <w:rFonts w:hint="eastAsia" w:ascii="宋体" w:hAnsi="宋体" w:cs="宋体"/>
          <w:bCs/>
          <w:sz w:val="22"/>
        </w:rPr>
        <w:t>2021年05月13日，湖北省知识产权局在官网发布《关于开展2020年湖北省知识产权运用示范工程项目验收的通知》，根据《湖北省知识产权局关于下达2020年知识产权“三大工程”项目的通知》（鄂知发〔2020〕5号），2020年湖北省知识产权运用示范工程项目实施已满一年，按照《湖北省知识产权“三大工程”项目管理办法（试行）》（鄂知发〔2019〕19号）要求，将组织该批项目验收工作</w:t>
      </w:r>
    </w:p>
    <w:p>
      <w:pPr>
        <w:spacing w:line="360" w:lineRule="auto"/>
        <w:ind w:firstLine="440" w:firstLineChars="200"/>
        <w:rPr>
          <w:rFonts w:ascii="宋体" w:hAnsi="宋体" w:cs="宋体"/>
          <w:bCs/>
          <w:sz w:val="22"/>
        </w:rPr>
      </w:pPr>
      <w:r>
        <w:rPr>
          <w:rFonts w:hint="eastAsia" w:ascii="宋体" w:hAnsi="宋体" w:cs="宋体"/>
          <w:bCs/>
          <w:sz w:val="22"/>
        </w:rPr>
        <w:t>2021年08月23日，湖北省知识产权局在官网发布《关于公布2020年湖北省知识产权运用示范工程项目验收结果的通知》，确定验收名单。</w:t>
      </w:r>
    </w:p>
    <w:p>
      <w:pPr>
        <w:pStyle w:val="24"/>
        <w:numPr>
          <w:ilvl w:val="0"/>
          <w:numId w:val="4"/>
        </w:numPr>
        <w:spacing w:line="360" w:lineRule="auto"/>
        <w:ind w:firstLineChars="0"/>
        <w:rPr>
          <w:rFonts w:ascii="宋体" w:hAnsi="宋体" w:cs="宋体"/>
          <w:bCs/>
          <w:sz w:val="22"/>
        </w:rPr>
      </w:pPr>
      <w:r>
        <w:rPr>
          <w:rFonts w:hint="eastAsia" w:ascii="宋体" w:hAnsi="宋体" w:cs="宋体"/>
          <w:bCs/>
          <w:sz w:val="22"/>
        </w:rPr>
        <w:t>项目绩效指标完成情况及综合评价结论</w:t>
      </w:r>
    </w:p>
    <w:p>
      <w:pPr>
        <w:spacing w:line="360" w:lineRule="auto"/>
        <w:ind w:left="440"/>
        <w:rPr>
          <w:rFonts w:ascii="宋体" w:hAnsi="宋体" w:cs="宋体"/>
          <w:bCs/>
          <w:sz w:val="22"/>
        </w:rPr>
      </w:pPr>
      <w:r>
        <w:rPr>
          <w:rFonts w:hint="eastAsia" w:ascii="宋体" w:hAnsi="宋体" w:cs="宋体"/>
          <w:bCs/>
          <w:sz w:val="22"/>
        </w:rPr>
        <w:t>1</w:t>
      </w:r>
      <w:r>
        <w:rPr>
          <w:rFonts w:ascii="宋体" w:hAnsi="宋体" w:cs="宋体"/>
          <w:bCs/>
          <w:sz w:val="22"/>
        </w:rPr>
        <w:t>.</w:t>
      </w:r>
      <w:r>
        <w:rPr>
          <w:rFonts w:hint="eastAsia" w:ascii="宋体" w:hAnsi="宋体" w:cs="宋体"/>
          <w:bCs/>
          <w:sz w:val="22"/>
        </w:rPr>
        <w:t>项目年度绩效指标完成情况</w:t>
      </w:r>
    </w:p>
    <w:tbl>
      <w:tblPr>
        <w:tblStyle w:val="15"/>
        <w:tblW w:w="8647" w:type="dxa"/>
        <w:jc w:val="center"/>
        <w:tblLayout w:type="autofit"/>
        <w:tblCellMar>
          <w:top w:w="0" w:type="dxa"/>
          <w:left w:w="108" w:type="dxa"/>
          <w:bottom w:w="0" w:type="dxa"/>
          <w:right w:w="108" w:type="dxa"/>
        </w:tblCellMar>
      </w:tblPr>
      <w:tblGrid>
        <w:gridCol w:w="1134"/>
        <w:gridCol w:w="1418"/>
        <w:gridCol w:w="3431"/>
        <w:gridCol w:w="1530"/>
        <w:gridCol w:w="1134"/>
      </w:tblGrid>
      <w:tr>
        <w:tblPrEx>
          <w:tblCellMar>
            <w:top w:w="0" w:type="dxa"/>
            <w:left w:w="108" w:type="dxa"/>
            <w:bottom w:w="0" w:type="dxa"/>
            <w:right w:w="108" w:type="dxa"/>
          </w:tblCellMar>
        </w:tblPrEx>
        <w:trPr>
          <w:trHeight w:val="30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34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5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完成值</w:t>
            </w:r>
          </w:p>
        </w:tc>
      </w:tr>
      <w:tr>
        <w:tblPrEx>
          <w:tblCellMar>
            <w:top w:w="0" w:type="dxa"/>
            <w:left w:w="108" w:type="dxa"/>
            <w:bottom w:w="0" w:type="dxa"/>
            <w:right w:w="108" w:type="dxa"/>
          </w:tblCellMar>
        </w:tblPrEx>
        <w:trPr>
          <w:trHeight w:val="3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高价值培育项目数</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100项左右</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98</w:t>
            </w: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高价值品牌培育项目</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6</w:t>
            </w:r>
            <w:r>
              <w:rPr>
                <w:rFonts w:hint="eastAsia" w:ascii="宋体" w:hAnsi="宋体" w:cs="宋体"/>
                <w:kern w:val="0"/>
                <w:sz w:val="20"/>
                <w:szCs w:val="20"/>
              </w:rPr>
              <w:t>个</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8</w:t>
            </w:r>
          </w:p>
        </w:tc>
      </w:tr>
      <w:tr>
        <w:tblPrEx>
          <w:tblCellMar>
            <w:top w:w="0" w:type="dxa"/>
            <w:left w:w="108" w:type="dxa"/>
            <w:bottom w:w="0" w:type="dxa"/>
            <w:right w:w="108" w:type="dxa"/>
          </w:tblCellMar>
        </w:tblPrEx>
        <w:trPr>
          <w:trHeight w:val="3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品牌海外护航项目</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6</w:t>
            </w:r>
          </w:p>
        </w:tc>
      </w:tr>
      <w:tr>
        <w:tblPrEx>
          <w:tblCellMar>
            <w:top w:w="0" w:type="dxa"/>
            <w:left w:w="108" w:type="dxa"/>
            <w:bottom w:w="0" w:type="dxa"/>
            <w:right w:w="108" w:type="dxa"/>
          </w:tblCellMar>
        </w:tblPrEx>
        <w:trPr>
          <w:trHeight w:val="3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品牌运用示范项目</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≥8个</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12个</w:t>
            </w:r>
          </w:p>
        </w:tc>
      </w:tr>
      <w:tr>
        <w:tblPrEx>
          <w:tblCellMar>
            <w:top w:w="0" w:type="dxa"/>
            <w:left w:w="108" w:type="dxa"/>
            <w:bottom w:w="0" w:type="dxa"/>
            <w:right w:w="108" w:type="dxa"/>
          </w:tblCellMar>
        </w:tblPrEx>
        <w:trPr>
          <w:trHeight w:val="3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3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护航湖北省重点“走出去”企业数量</w:t>
            </w:r>
          </w:p>
        </w:tc>
        <w:tc>
          <w:tcPr>
            <w:tcW w:w="15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不少于</w:t>
            </w:r>
            <w:r>
              <w:rPr>
                <w:rFonts w:ascii="宋体" w:hAnsi="宋体" w:cs="宋体"/>
                <w:kern w:val="0"/>
                <w:sz w:val="20"/>
                <w:szCs w:val="20"/>
              </w:rPr>
              <w:t>20</w:t>
            </w:r>
            <w:r>
              <w:rPr>
                <w:rFonts w:hint="eastAsia" w:ascii="宋体" w:hAnsi="宋体" w:cs="宋体"/>
                <w:kern w:val="0"/>
                <w:sz w:val="20"/>
                <w:szCs w:val="20"/>
              </w:rPr>
              <w:t>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21</w:t>
            </w:r>
            <w:r>
              <w:rPr>
                <w:rFonts w:hint="eastAsia" w:ascii="宋体" w:hAnsi="宋体" w:cs="宋体"/>
                <w:kern w:val="0"/>
                <w:sz w:val="20"/>
                <w:szCs w:val="20"/>
              </w:rPr>
              <w:t>家</w:t>
            </w:r>
          </w:p>
        </w:tc>
      </w:tr>
    </w:tbl>
    <w:p>
      <w:pPr>
        <w:spacing w:line="360" w:lineRule="auto"/>
        <w:ind w:firstLine="440" w:firstLineChars="200"/>
        <w:rPr>
          <w:rFonts w:ascii="宋体" w:hAnsi="宋体" w:cs="宋体"/>
          <w:bCs/>
          <w:sz w:val="22"/>
        </w:rPr>
      </w:pPr>
      <w:r>
        <w:rPr>
          <w:rFonts w:hint="eastAsia" w:ascii="宋体" w:hAnsi="宋体" w:cs="宋体"/>
          <w:bCs/>
          <w:sz w:val="22"/>
        </w:rPr>
        <w:t>2</w:t>
      </w:r>
      <w:r>
        <w:rPr>
          <w:rFonts w:ascii="宋体" w:hAnsi="宋体" w:cs="宋体"/>
          <w:bCs/>
          <w:sz w:val="22"/>
        </w:rPr>
        <w:t>.</w:t>
      </w:r>
      <w:r>
        <w:rPr>
          <w:rFonts w:hint="eastAsia"/>
        </w:rPr>
        <w:t xml:space="preserve"> </w:t>
      </w:r>
      <w:r>
        <w:rPr>
          <w:rFonts w:hint="eastAsia" w:ascii="宋体" w:hAnsi="宋体" w:cs="宋体"/>
          <w:bCs/>
          <w:sz w:val="22"/>
        </w:rPr>
        <w:t>综合评价结论</w:t>
      </w:r>
    </w:p>
    <w:p>
      <w:pPr>
        <w:spacing w:line="360" w:lineRule="auto"/>
        <w:ind w:firstLine="440" w:firstLineChars="200"/>
        <w:rPr>
          <w:rFonts w:ascii="宋体" w:hAnsi="宋体" w:cs="宋体"/>
          <w:bCs/>
          <w:sz w:val="22"/>
        </w:rPr>
      </w:pPr>
      <w:r>
        <w:rPr>
          <w:rFonts w:hint="eastAsia" w:ascii="宋体" w:hAnsi="宋体" w:cs="宋体"/>
          <w:bCs/>
          <w:sz w:val="22"/>
        </w:rPr>
        <w:t>通过评价，本项目综合得分8</w:t>
      </w:r>
      <w:r>
        <w:rPr>
          <w:rFonts w:ascii="宋体" w:hAnsi="宋体" w:cs="宋体"/>
          <w:bCs/>
          <w:sz w:val="22"/>
        </w:rPr>
        <w:t>7</w:t>
      </w:r>
      <w:r>
        <w:rPr>
          <w:rFonts w:hint="eastAsia" w:ascii="宋体" w:hAnsi="宋体" w:cs="宋体"/>
          <w:bCs/>
          <w:sz w:val="22"/>
        </w:rPr>
        <w:t>分，项目综合绩效评定结论为“良好”，具体评分情况见附件一。</w:t>
      </w:r>
    </w:p>
    <w:p>
      <w:pPr>
        <w:spacing w:line="360" w:lineRule="auto"/>
        <w:ind w:firstLine="440" w:firstLineChars="200"/>
        <w:rPr>
          <w:rFonts w:ascii="宋体" w:hAnsi="宋体" w:cs="宋体"/>
          <w:bCs/>
          <w:sz w:val="22"/>
        </w:rPr>
      </w:pPr>
      <w:r>
        <w:rPr>
          <w:rFonts w:hint="eastAsia" w:ascii="宋体" w:hAnsi="宋体" w:cs="宋体"/>
          <w:bCs/>
          <w:sz w:val="22"/>
        </w:rPr>
        <w:t>（1）项目决策指标分析</w:t>
      </w:r>
    </w:p>
    <w:p>
      <w:pPr>
        <w:spacing w:line="360" w:lineRule="auto"/>
        <w:ind w:firstLine="440" w:firstLineChars="200"/>
        <w:rPr>
          <w:rFonts w:ascii="宋体" w:hAnsi="宋体" w:cs="宋体"/>
          <w:bCs/>
          <w:sz w:val="22"/>
        </w:rPr>
      </w:pPr>
      <w:r>
        <w:rPr>
          <w:rFonts w:hint="eastAsia" w:ascii="宋体" w:hAnsi="宋体" w:cs="宋体"/>
          <w:bCs/>
          <w:sz w:val="22"/>
        </w:rPr>
        <w:t>项目决策指标，该指标分值2</w:t>
      </w:r>
      <w:r>
        <w:rPr>
          <w:rFonts w:ascii="宋体" w:hAnsi="宋体" w:cs="宋体"/>
          <w:bCs/>
          <w:sz w:val="22"/>
        </w:rPr>
        <w:t>0</w:t>
      </w:r>
      <w:r>
        <w:rPr>
          <w:rFonts w:hint="eastAsia" w:ascii="宋体" w:hAnsi="宋体" w:cs="宋体"/>
          <w:bCs/>
          <w:sz w:val="22"/>
        </w:rPr>
        <w:t>分，评价得分1</w:t>
      </w:r>
      <w:r>
        <w:rPr>
          <w:rFonts w:ascii="宋体" w:hAnsi="宋体" w:cs="宋体"/>
          <w:bCs/>
          <w:sz w:val="22"/>
        </w:rPr>
        <w:t>5</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其中项目立项环节设置分值6分，评价得分6分。省知识产权局在“三大工程”项目的立项程序、依据方面较为规范，未发现扣分项。</w:t>
      </w:r>
    </w:p>
    <w:p>
      <w:pPr>
        <w:spacing w:line="360" w:lineRule="auto"/>
        <w:ind w:firstLine="440" w:firstLineChars="200"/>
        <w:rPr>
          <w:rFonts w:ascii="宋体" w:hAnsi="宋体" w:cs="宋体"/>
          <w:bCs/>
          <w:sz w:val="22"/>
        </w:rPr>
      </w:pPr>
      <w:r>
        <w:rPr>
          <w:rFonts w:hint="eastAsia" w:ascii="宋体" w:hAnsi="宋体" w:cs="宋体"/>
          <w:bCs/>
          <w:sz w:val="22"/>
        </w:rPr>
        <w:t xml:space="preserve">其中绩效目标方面设置分值5分，评价得分3分，扣分2分。主要原因是项目绩效目标设置不全面，部分指标值设置不合理，绩效目标单一，多为数量指标，且与项目实际产出无密切关系，扣分2分； </w:t>
      </w:r>
    </w:p>
    <w:p>
      <w:pPr>
        <w:spacing w:line="360" w:lineRule="auto"/>
        <w:ind w:firstLine="440" w:firstLineChars="200"/>
        <w:rPr>
          <w:rFonts w:ascii="宋体" w:hAnsi="宋体" w:cs="宋体"/>
          <w:bCs/>
          <w:sz w:val="22"/>
        </w:rPr>
      </w:pPr>
      <w:r>
        <w:rPr>
          <w:rFonts w:hint="eastAsia" w:ascii="宋体" w:hAnsi="宋体" w:cs="宋体"/>
          <w:bCs/>
          <w:sz w:val="22"/>
        </w:rPr>
        <w:t>其中资金分配方面设置分值9分，评价得分</w:t>
      </w:r>
      <w:r>
        <w:rPr>
          <w:rFonts w:ascii="宋体" w:hAnsi="宋体" w:cs="宋体"/>
          <w:bCs/>
          <w:sz w:val="22"/>
        </w:rPr>
        <w:t>6</w:t>
      </w:r>
      <w:r>
        <w:rPr>
          <w:rFonts w:hint="eastAsia" w:ascii="宋体" w:hAnsi="宋体" w:cs="宋体"/>
          <w:bCs/>
          <w:sz w:val="22"/>
        </w:rPr>
        <w:t>分，扣分</w:t>
      </w:r>
      <w:r>
        <w:rPr>
          <w:rFonts w:ascii="宋体" w:hAnsi="宋体" w:cs="宋体"/>
          <w:bCs/>
          <w:sz w:val="22"/>
        </w:rPr>
        <w:t>3</w:t>
      </w:r>
      <w:r>
        <w:rPr>
          <w:rFonts w:hint="eastAsia" w:ascii="宋体" w:hAnsi="宋体" w:cs="宋体"/>
          <w:bCs/>
          <w:sz w:val="22"/>
        </w:rPr>
        <w:t>分。主要原因是省知识产权局未设立分配标准且未按照预算分配执行，存在项目间调剂，扣2分，资金使用率为9</w:t>
      </w:r>
      <w:r>
        <w:rPr>
          <w:rFonts w:ascii="宋体" w:hAnsi="宋体" w:cs="宋体"/>
          <w:bCs/>
          <w:sz w:val="22"/>
        </w:rPr>
        <w:t>6%</w:t>
      </w:r>
      <w:r>
        <w:rPr>
          <w:rFonts w:hint="eastAsia" w:ascii="宋体" w:hAnsi="宋体" w:cs="宋体"/>
          <w:bCs/>
          <w:sz w:val="22"/>
        </w:rPr>
        <w:t>，扣1分。</w:t>
      </w:r>
    </w:p>
    <w:p>
      <w:pPr>
        <w:spacing w:line="360" w:lineRule="auto"/>
        <w:ind w:firstLine="440" w:firstLineChars="200"/>
        <w:rPr>
          <w:rFonts w:ascii="宋体" w:hAnsi="宋体" w:cs="宋体"/>
          <w:bCs/>
          <w:sz w:val="22"/>
        </w:rPr>
      </w:pPr>
      <w:r>
        <w:rPr>
          <w:rFonts w:hint="eastAsia" w:ascii="宋体" w:hAnsi="宋体" w:cs="宋体"/>
          <w:bCs/>
          <w:sz w:val="22"/>
        </w:rPr>
        <w:t>该项指标具体评分结果如下：</w:t>
      </w:r>
    </w:p>
    <w:tbl>
      <w:tblPr>
        <w:tblStyle w:val="15"/>
        <w:tblW w:w="8671" w:type="dxa"/>
        <w:tblInd w:w="-181" w:type="dxa"/>
        <w:tblLayout w:type="fixed"/>
        <w:tblCellMar>
          <w:top w:w="0" w:type="dxa"/>
          <w:left w:w="108" w:type="dxa"/>
          <w:bottom w:w="0" w:type="dxa"/>
          <w:right w:w="108" w:type="dxa"/>
        </w:tblCellMar>
      </w:tblPr>
      <w:tblGrid>
        <w:gridCol w:w="1027"/>
        <w:gridCol w:w="2410"/>
        <w:gridCol w:w="2171"/>
        <w:gridCol w:w="975"/>
        <w:gridCol w:w="1114"/>
        <w:gridCol w:w="974"/>
      </w:tblGrid>
      <w:tr>
        <w:tblPrEx>
          <w:tblCellMar>
            <w:top w:w="0" w:type="dxa"/>
            <w:left w:w="108" w:type="dxa"/>
            <w:bottom w:w="0" w:type="dxa"/>
            <w:right w:w="108" w:type="dxa"/>
          </w:tblCellMar>
        </w:tblPrEx>
        <w:trPr>
          <w:trHeight w:val="496" w:hRule="atLeast"/>
        </w:trPr>
        <w:tc>
          <w:tcPr>
            <w:tcW w:w="1027"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21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111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扣分</w:t>
            </w:r>
          </w:p>
        </w:tc>
      </w:tr>
      <w:tr>
        <w:tblPrEx>
          <w:tblCellMar>
            <w:top w:w="0" w:type="dxa"/>
            <w:left w:w="108" w:type="dxa"/>
            <w:bottom w:w="0" w:type="dxa"/>
            <w:right w:w="108" w:type="dxa"/>
          </w:tblCellMar>
        </w:tblPrEx>
        <w:trPr>
          <w:trHeight w:val="449" w:hRule="atLeast"/>
        </w:trPr>
        <w:tc>
          <w:tcPr>
            <w:tcW w:w="1027"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项目决策</w:t>
            </w:r>
          </w:p>
          <w:p>
            <w:pPr>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r>
              <w:rPr>
                <w:rFonts w:hint="eastAsia" w:ascii="宋体" w:hAnsi="宋体" w:cs="宋体"/>
                <w:kern w:val="0"/>
                <w:sz w:val="20"/>
                <w:szCs w:val="20"/>
              </w:rPr>
              <w:t>分）</w:t>
            </w:r>
          </w:p>
        </w:tc>
        <w:tc>
          <w:tcPr>
            <w:tcW w:w="2410" w:type="dxa"/>
            <w:vMerge w:val="restart"/>
            <w:tcBorders>
              <w:top w:val="nil"/>
              <w:left w:val="nil"/>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项目立项</w:t>
            </w:r>
          </w:p>
          <w:p>
            <w:pPr>
              <w:jc w:val="center"/>
              <w:rPr>
                <w:rFonts w:ascii="宋体" w:hAnsi="宋体" w:cs="宋体"/>
                <w:kern w:val="0"/>
                <w:sz w:val="20"/>
                <w:szCs w:val="20"/>
              </w:rPr>
            </w:pPr>
            <w:r>
              <w:rPr>
                <w:rFonts w:hint="eastAsia" w:ascii="宋体" w:hAnsi="宋体" w:cs="宋体"/>
                <w:kern w:val="0"/>
                <w:sz w:val="20"/>
                <w:szCs w:val="20"/>
              </w:rPr>
              <w:t>（6分）</w:t>
            </w:r>
          </w:p>
        </w:tc>
        <w:tc>
          <w:tcPr>
            <w:tcW w:w="217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立项依据充分性</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71" w:hRule="atLeast"/>
        </w:trPr>
        <w:tc>
          <w:tcPr>
            <w:tcW w:w="1027"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17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立项程序规范性</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3" w:hRule="atLeast"/>
        </w:trPr>
        <w:tc>
          <w:tcPr>
            <w:tcW w:w="1027"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绩效目标（5分）</w:t>
            </w:r>
          </w:p>
        </w:tc>
        <w:tc>
          <w:tcPr>
            <w:tcW w:w="217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绩效目标设置合理性</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2</w:t>
            </w:r>
          </w:p>
        </w:tc>
      </w:tr>
      <w:tr>
        <w:tblPrEx>
          <w:tblCellMar>
            <w:top w:w="0" w:type="dxa"/>
            <w:left w:w="108" w:type="dxa"/>
            <w:bottom w:w="0" w:type="dxa"/>
            <w:right w:w="108" w:type="dxa"/>
          </w:tblCellMar>
        </w:tblPrEx>
        <w:trPr>
          <w:trHeight w:val="282" w:hRule="atLeast"/>
        </w:trPr>
        <w:tc>
          <w:tcPr>
            <w:tcW w:w="1027"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241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资金分配</w:t>
            </w:r>
          </w:p>
          <w:p>
            <w:pPr>
              <w:widowControl/>
              <w:jc w:val="center"/>
              <w:rPr>
                <w:rFonts w:ascii="宋体" w:hAnsi="宋体" w:cs="宋体"/>
                <w:kern w:val="0"/>
                <w:sz w:val="20"/>
                <w:szCs w:val="20"/>
              </w:rPr>
            </w:pPr>
            <w:r>
              <w:rPr>
                <w:rFonts w:hint="eastAsia" w:ascii="宋体" w:hAnsi="宋体" w:cs="宋体"/>
                <w:kern w:val="0"/>
                <w:sz w:val="20"/>
                <w:szCs w:val="20"/>
              </w:rPr>
              <w:t>（9分）</w:t>
            </w:r>
          </w:p>
        </w:tc>
        <w:tc>
          <w:tcPr>
            <w:tcW w:w="217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资金分配办法</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45" w:hRule="atLeast"/>
        </w:trPr>
        <w:tc>
          <w:tcPr>
            <w:tcW w:w="1027"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7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资金分配结果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91" w:hRule="atLeast"/>
        </w:trPr>
        <w:tc>
          <w:tcPr>
            <w:tcW w:w="3437"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21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color w:val="000000"/>
                <w:kern w:val="0"/>
                <w:sz w:val="20"/>
                <w:szCs w:val="20"/>
              </w:rPr>
              <w:t>　</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r>
              <w:rPr>
                <w:rFonts w:ascii="宋体" w:hAnsi="宋体" w:cs="宋体"/>
                <w:b/>
                <w:bCs/>
                <w:kern w:val="0"/>
                <w:sz w:val="20"/>
                <w:szCs w:val="20"/>
              </w:rPr>
              <w:t>0</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r>
              <w:rPr>
                <w:rFonts w:ascii="宋体" w:hAnsi="宋体" w:cs="宋体"/>
                <w:b/>
                <w:bCs/>
                <w:kern w:val="0"/>
                <w:sz w:val="20"/>
                <w:szCs w:val="20"/>
              </w:rPr>
              <w:t>5</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5</w:t>
            </w:r>
          </w:p>
        </w:tc>
      </w:tr>
    </w:tbl>
    <w:p>
      <w:pPr>
        <w:pStyle w:val="24"/>
        <w:numPr>
          <w:ilvl w:val="0"/>
          <w:numId w:val="5"/>
        </w:numPr>
        <w:spacing w:line="360" w:lineRule="auto"/>
        <w:ind w:firstLineChars="0"/>
        <w:rPr>
          <w:rFonts w:ascii="宋体" w:hAnsi="宋体" w:cs="宋体"/>
          <w:bCs/>
          <w:sz w:val="22"/>
        </w:rPr>
      </w:pPr>
      <w:r>
        <w:rPr>
          <w:rFonts w:hint="eastAsia" w:ascii="宋体" w:hAnsi="宋体" w:cs="宋体"/>
          <w:bCs/>
          <w:sz w:val="22"/>
        </w:rPr>
        <w:t>项目过程指标分析</w:t>
      </w:r>
    </w:p>
    <w:p>
      <w:pPr>
        <w:spacing w:line="360" w:lineRule="auto"/>
        <w:ind w:firstLine="440" w:firstLineChars="200"/>
        <w:rPr>
          <w:rFonts w:ascii="宋体" w:hAnsi="宋体" w:cs="宋体"/>
          <w:bCs/>
          <w:sz w:val="22"/>
        </w:rPr>
      </w:pPr>
      <w:r>
        <w:rPr>
          <w:rFonts w:hint="eastAsia" w:ascii="宋体" w:hAnsi="宋体" w:cs="宋体"/>
          <w:bCs/>
          <w:sz w:val="22"/>
        </w:rPr>
        <w:t>项目过程指标，该指标分值</w:t>
      </w:r>
      <w:r>
        <w:rPr>
          <w:rFonts w:ascii="宋体" w:hAnsi="宋体" w:cs="宋体"/>
          <w:bCs/>
          <w:sz w:val="22"/>
        </w:rPr>
        <w:t>25</w:t>
      </w:r>
      <w:r>
        <w:rPr>
          <w:rFonts w:hint="eastAsia" w:ascii="宋体" w:hAnsi="宋体" w:cs="宋体"/>
          <w:bCs/>
          <w:sz w:val="22"/>
        </w:rPr>
        <w:t>分，评价得分</w:t>
      </w:r>
      <w:r>
        <w:rPr>
          <w:rFonts w:ascii="宋体" w:hAnsi="宋体" w:cs="宋体"/>
          <w:bCs/>
          <w:sz w:val="22"/>
        </w:rPr>
        <w:t>20</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资金到位方面设置分数5分，评价得分4分，扣分1分。主要原因是个别项目资金未按照时效要求拨付至企业，运用示范工程2019年评审通过的武汉大学等四所高校40万补助资金应于2020年发放补助，实际2021年发放。且应于2021年发放的三峡大学等五所高校院所未在当年发放补助资金，扣分</w:t>
      </w:r>
      <w:r>
        <w:rPr>
          <w:rFonts w:ascii="宋体" w:hAnsi="宋体" w:cs="宋体"/>
          <w:bCs/>
          <w:sz w:val="22"/>
        </w:rPr>
        <w:t>1</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其中资金管理方面设置</w:t>
      </w:r>
      <w:r>
        <w:rPr>
          <w:rFonts w:ascii="宋体" w:hAnsi="宋体" w:cs="宋体"/>
          <w:bCs/>
          <w:sz w:val="22"/>
        </w:rPr>
        <w:t>10</w:t>
      </w:r>
      <w:r>
        <w:rPr>
          <w:rFonts w:hint="eastAsia" w:ascii="宋体" w:hAnsi="宋体" w:cs="宋体"/>
          <w:bCs/>
          <w:sz w:val="22"/>
        </w:rPr>
        <w:t>分，评价得分</w:t>
      </w:r>
      <w:r>
        <w:rPr>
          <w:rFonts w:ascii="宋体" w:hAnsi="宋体" w:cs="宋体"/>
          <w:bCs/>
          <w:sz w:val="22"/>
        </w:rPr>
        <w:t>9</w:t>
      </w:r>
      <w:r>
        <w:rPr>
          <w:rFonts w:hint="eastAsia" w:ascii="宋体" w:hAnsi="宋体" w:cs="宋体"/>
          <w:bCs/>
          <w:sz w:val="22"/>
        </w:rPr>
        <w:t>分，扣分1分。主要原因是省知识产权局未将各类项目申报资格条件、奖补发放标准、发放时间、验收条件、奖补资金使用范围等予以细化，扣1分</w:t>
      </w:r>
    </w:p>
    <w:p>
      <w:pPr>
        <w:spacing w:line="360" w:lineRule="auto"/>
        <w:ind w:firstLine="440" w:firstLineChars="200"/>
        <w:rPr>
          <w:rFonts w:ascii="宋体" w:hAnsi="宋体" w:cs="宋体"/>
          <w:bCs/>
          <w:sz w:val="22"/>
        </w:rPr>
      </w:pPr>
      <w:r>
        <w:rPr>
          <w:rFonts w:hint="eastAsia" w:ascii="宋体" w:hAnsi="宋体" w:cs="宋体"/>
          <w:bCs/>
          <w:sz w:val="22"/>
        </w:rPr>
        <w:t>其中组织实施方面设置分数1</w:t>
      </w:r>
      <w:r>
        <w:rPr>
          <w:rFonts w:ascii="宋体" w:hAnsi="宋体" w:cs="宋体"/>
          <w:bCs/>
          <w:sz w:val="22"/>
        </w:rPr>
        <w:t>0</w:t>
      </w:r>
      <w:r>
        <w:rPr>
          <w:rFonts w:hint="eastAsia" w:ascii="宋体" w:hAnsi="宋体" w:cs="宋体"/>
          <w:bCs/>
          <w:sz w:val="22"/>
        </w:rPr>
        <w:t>分，评价得分</w:t>
      </w:r>
      <w:r>
        <w:rPr>
          <w:rFonts w:ascii="宋体" w:hAnsi="宋体" w:cs="宋体"/>
          <w:bCs/>
          <w:sz w:val="22"/>
        </w:rPr>
        <w:t>7</w:t>
      </w:r>
      <w:r>
        <w:rPr>
          <w:rFonts w:hint="eastAsia" w:ascii="宋体" w:hAnsi="宋体" w:cs="宋体"/>
          <w:bCs/>
          <w:sz w:val="22"/>
        </w:rPr>
        <w:t>分，扣分</w:t>
      </w:r>
      <w:r>
        <w:rPr>
          <w:rFonts w:ascii="宋体" w:hAnsi="宋体" w:cs="宋体"/>
          <w:bCs/>
          <w:sz w:val="22"/>
        </w:rPr>
        <w:t>3</w:t>
      </w:r>
      <w:r>
        <w:rPr>
          <w:rFonts w:hint="eastAsia" w:ascii="宋体" w:hAnsi="宋体" w:cs="宋体"/>
          <w:bCs/>
          <w:sz w:val="22"/>
        </w:rPr>
        <w:t>分。主要原因项目调整预算调整未按照内部制度履行手续，扣1分，无“三大工程”项目实施相关细化管理制度，仅有资金管理制度，扣</w:t>
      </w:r>
      <w:r>
        <w:rPr>
          <w:rFonts w:ascii="宋体" w:hAnsi="宋体" w:cs="宋体"/>
          <w:bCs/>
          <w:sz w:val="22"/>
        </w:rPr>
        <w:t>2</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该项指标具体评分结果如下：</w:t>
      </w:r>
    </w:p>
    <w:tbl>
      <w:tblPr>
        <w:tblStyle w:val="15"/>
        <w:tblW w:w="8667" w:type="dxa"/>
        <w:tblInd w:w="-181" w:type="dxa"/>
        <w:tblLayout w:type="fixed"/>
        <w:tblCellMar>
          <w:top w:w="0" w:type="dxa"/>
          <w:left w:w="108" w:type="dxa"/>
          <w:bottom w:w="0" w:type="dxa"/>
          <w:right w:w="108" w:type="dxa"/>
        </w:tblCellMar>
      </w:tblPr>
      <w:tblGrid>
        <w:gridCol w:w="1460"/>
        <w:gridCol w:w="1778"/>
        <w:gridCol w:w="2368"/>
        <w:gridCol w:w="974"/>
        <w:gridCol w:w="1114"/>
        <w:gridCol w:w="973"/>
      </w:tblGrid>
      <w:tr>
        <w:tblPrEx>
          <w:tblCellMar>
            <w:top w:w="0" w:type="dxa"/>
            <w:left w:w="108" w:type="dxa"/>
            <w:bottom w:w="0" w:type="dxa"/>
            <w:right w:w="108" w:type="dxa"/>
          </w:tblCellMar>
        </w:tblPrEx>
        <w:trPr>
          <w:trHeight w:val="366" w:hRule="atLeast"/>
          <w:tblHeader/>
        </w:trPr>
        <w:tc>
          <w:tcPr>
            <w:tcW w:w="1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17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23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111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c>
          <w:tcPr>
            <w:tcW w:w="97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扣分</w:t>
            </w:r>
          </w:p>
        </w:tc>
      </w:tr>
      <w:tr>
        <w:tblPrEx>
          <w:tblCellMar>
            <w:top w:w="0" w:type="dxa"/>
            <w:left w:w="108" w:type="dxa"/>
            <w:bottom w:w="0" w:type="dxa"/>
            <w:right w:w="108" w:type="dxa"/>
          </w:tblCellMar>
        </w:tblPrEx>
        <w:trPr>
          <w:trHeight w:val="523" w:hRule="atLeast"/>
        </w:trPr>
        <w:tc>
          <w:tcPr>
            <w:tcW w:w="146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项目管理</w:t>
            </w:r>
          </w:p>
          <w:p>
            <w:pPr>
              <w:widowControl/>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r>
              <w:rPr>
                <w:rFonts w:hint="eastAsia" w:ascii="宋体" w:hAnsi="宋体" w:cs="宋体"/>
                <w:kern w:val="0"/>
                <w:sz w:val="20"/>
                <w:szCs w:val="20"/>
              </w:rPr>
              <w:t>分）</w:t>
            </w:r>
          </w:p>
        </w:tc>
        <w:tc>
          <w:tcPr>
            <w:tcW w:w="1778" w:type="dxa"/>
            <w:tcBorders>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资金到位</w:t>
            </w:r>
          </w:p>
          <w:p>
            <w:pPr>
              <w:widowControl/>
              <w:jc w:val="center"/>
              <w:rPr>
                <w:rFonts w:ascii="宋体" w:hAnsi="宋体" w:cs="宋体"/>
                <w:kern w:val="0"/>
                <w:sz w:val="20"/>
                <w:szCs w:val="20"/>
              </w:rPr>
            </w:pPr>
            <w:r>
              <w:rPr>
                <w:rFonts w:hint="eastAsia" w:ascii="宋体" w:hAnsi="宋体" w:cs="宋体"/>
                <w:kern w:val="0"/>
                <w:sz w:val="20"/>
                <w:szCs w:val="20"/>
              </w:rPr>
              <w:t>（5分）</w:t>
            </w:r>
          </w:p>
        </w:tc>
        <w:tc>
          <w:tcPr>
            <w:tcW w:w="23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资金到位及时率</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97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361" w:hRule="atLeast"/>
        </w:trPr>
        <w:tc>
          <w:tcPr>
            <w:tcW w:w="146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778"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资金管理</w:t>
            </w:r>
          </w:p>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分）</w:t>
            </w:r>
          </w:p>
        </w:tc>
        <w:tc>
          <w:tcPr>
            <w:tcW w:w="23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资金使用合规性</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7</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7</w:t>
            </w:r>
          </w:p>
        </w:tc>
        <w:tc>
          <w:tcPr>
            <w:tcW w:w="97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7" w:hRule="atLeast"/>
        </w:trPr>
        <w:tc>
          <w:tcPr>
            <w:tcW w:w="146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77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3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管理制度健全性</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7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307" w:hRule="atLeast"/>
        </w:trPr>
        <w:tc>
          <w:tcPr>
            <w:tcW w:w="1460"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7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组织实施</w:t>
            </w:r>
          </w:p>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分）</w:t>
            </w:r>
          </w:p>
        </w:tc>
        <w:tc>
          <w:tcPr>
            <w:tcW w:w="23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组织结构</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97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67" w:hRule="atLeast"/>
        </w:trPr>
        <w:tc>
          <w:tcPr>
            <w:tcW w:w="146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管理制度</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7</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7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88" w:hRule="atLeast"/>
        </w:trPr>
        <w:tc>
          <w:tcPr>
            <w:tcW w:w="323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236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color w:val="000000"/>
                <w:kern w:val="0"/>
                <w:sz w:val="20"/>
                <w:szCs w:val="20"/>
              </w:rPr>
              <w:t>　</w:t>
            </w:r>
          </w:p>
        </w:tc>
        <w:tc>
          <w:tcPr>
            <w:tcW w:w="97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r>
              <w:rPr>
                <w:rFonts w:ascii="宋体" w:hAnsi="宋体" w:cs="宋体"/>
                <w:b/>
                <w:bCs/>
                <w:kern w:val="0"/>
                <w:sz w:val="20"/>
                <w:szCs w:val="20"/>
              </w:rPr>
              <w:t>5</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ascii="宋体" w:hAnsi="宋体" w:cs="宋体"/>
                <w:b/>
                <w:bCs/>
                <w:kern w:val="0"/>
                <w:sz w:val="20"/>
                <w:szCs w:val="20"/>
              </w:rPr>
              <w:t>20</w:t>
            </w:r>
          </w:p>
        </w:tc>
        <w:tc>
          <w:tcPr>
            <w:tcW w:w="97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5</w:t>
            </w:r>
          </w:p>
        </w:tc>
      </w:tr>
    </w:tbl>
    <w:p>
      <w:pPr>
        <w:pStyle w:val="24"/>
        <w:numPr>
          <w:ilvl w:val="0"/>
          <w:numId w:val="5"/>
        </w:numPr>
        <w:spacing w:line="360" w:lineRule="auto"/>
        <w:ind w:firstLineChars="0"/>
        <w:rPr>
          <w:rFonts w:ascii="宋体" w:hAnsi="宋体" w:cs="宋体"/>
          <w:bCs/>
          <w:sz w:val="22"/>
        </w:rPr>
      </w:pPr>
      <w:r>
        <w:rPr>
          <w:rFonts w:hint="eastAsia" w:ascii="宋体" w:hAnsi="宋体" w:cs="宋体"/>
          <w:bCs/>
          <w:sz w:val="22"/>
        </w:rPr>
        <w:t>项目效益指标分析</w:t>
      </w:r>
    </w:p>
    <w:p>
      <w:pPr>
        <w:spacing w:line="360" w:lineRule="auto"/>
        <w:ind w:firstLine="440" w:firstLineChars="200"/>
        <w:rPr>
          <w:rFonts w:ascii="宋体" w:hAnsi="宋体" w:cs="宋体"/>
          <w:bCs/>
          <w:sz w:val="22"/>
        </w:rPr>
      </w:pPr>
      <w:r>
        <w:rPr>
          <w:rFonts w:hint="eastAsia" w:ascii="宋体" w:hAnsi="宋体" w:cs="宋体"/>
          <w:bCs/>
          <w:sz w:val="22"/>
        </w:rPr>
        <w:t>项目效益指标，该指标分值</w:t>
      </w:r>
      <w:r>
        <w:rPr>
          <w:rFonts w:ascii="宋体" w:hAnsi="宋体" w:cs="宋体"/>
          <w:bCs/>
          <w:sz w:val="22"/>
        </w:rPr>
        <w:t>55</w:t>
      </w:r>
      <w:r>
        <w:rPr>
          <w:rFonts w:hint="eastAsia" w:ascii="宋体" w:hAnsi="宋体" w:cs="宋体"/>
          <w:bCs/>
          <w:sz w:val="22"/>
        </w:rPr>
        <w:t>分，评价得分</w:t>
      </w:r>
      <w:r>
        <w:rPr>
          <w:rFonts w:ascii="宋体" w:hAnsi="宋体" w:cs="宋体"/>
          <w:bCs/>
          <w:sz w:val="22"/>
        </w:rPr>
        <w:t>52</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其中产出数量指标设置分数2</w:t>
      </w:r>
      <w:r>
        <w:rPr>
          <w:rFonts w:ascii="宋体" w:hAnsi="宋体" w:cs="宋体"/>
          <w:bCs/>
          <w:sz w:val="22"/>
        </w:rPr>
        <w:t>0</w:t>
      </w:r>
      <w:r>
        <w:rPr>
          <w:rFonts w:hint="eastAsia" w:ascii="宋体" w:hAnsi="宋体" w:cs="宋体"/>
          <w:bCs/>
          <w:sz w:val="22"/>
        </w:rPr>
        <w:t>分，评价得分</w:t>
      </w:r>
      <w:r>
        <w:rPr>
          <w:rFonts w:ascii="宋体" w:hAnsi="宋体" w:cs="宋体"/>
          <w:bCs/>
          <w:sz w:val="22"/>
        </w:rPr>
        <w:t>17</w:t>
      </w:r>
      <w:r>
        <w:rPr>
          <w:rFonts w:hint="eastAsia" w:ascii="宋体" w:hAnsi="宋体" w:cs="宋体"/>
          <w:bCs/>
          <w:sz w:val="22"/>
        </w:rPr>
        <w:t>分，扣分</w:t>
      </w:r>
      <w:r>
        <w:rPr>
          <w:rFonts w:ascii="宋体" w:hAnsi="宋体" w:cs="宋体"/>
          <w:bCs/>
          <w:sz w:val="22"/>
        </w:rPr>
        <w:t>3</w:t>
      </w:r>
      <w:r>
        <w:rPr>
          <w:rFonts w:hint="eastAsia" w:ascii="宋体" w:hAnsi="宋体" w:cs="宋体"/>
          <w:bCs/>
          <w:sz w:val="22"/>
        </w:rPr>
        <w:t>分。主要原因是部分绩效未按照尽量从严、从高设定的原则设定，目标值设置偏低。分别为：品牌海外护航项目目标值</w:t>
      </w:r>
      <w:r>
        <w:rPr>
          <w:rFonts w:ascii="宋体" w:hAnsi="宋体" w:cs="宋体"/>
          <w:bCs/>
          <w:sz w:val="22"/>
        </w:rPr>
        <w:t>2</w:t>
      </w:r>
      <w:r>
        <w:rPr>
          <w:rFonts w:hint="eastAsia" w:ascii="宋体" w:hAnsi="宋体" w:cs="宋体"/>
          <w:bCs/>
          <w:sz w:val="22"/>
        </w:rPr>
        <w:t>家，完成值</w:t>
      </w:r>
      <w:r>
        <w:rPr>
          <w:rFonts w:ascii="宋体" w:hAnsi="宋体" w:cs="宋体"/>
          <w:bCs/>
          <w:sz w:val="22"/>
        </w:rPr>
        <w:t>6</w:t>
      </w:r>
      <w:r>
        <w:rPr>
          <w:rFonts w:hint="eastAsia" w:ascii="宋体" w:hAnsi="宋体" w:cs="宋体"/>
          <w:bCs/>
          <w:sz w:val="22"/>
        </w:rPr>
        <w:t>家，完成率</w:t>
      </w:r>
      <w:r>
        <w:rPr>
          <w:rFonts w:ascii="宋体" w:hAnsi="宋体" w:cs="宋体"/>
          <w:bCs/>
          <w:sz w:val="22"/>
        </w:rPr>
        <w:t>300%</w:t>
      </w:r>
      <w:r>
        <w:rPr>
          <w:rFonts w:hint="eastAsia" w:ascii="宋体" w:hAnsi="宋体" w:cs="宋体"/>
          <w:bCs/>
          <w:sz w:val="22"/>
        </w:rPr>
        <w:t>，目标设置较为保守，扣</w:t>
      </w:r>
      <w:r>
        <w:rPr>
          <w:rFonts w:ascii="宋体" w:hAnsi="宋体" w:cs="宋体"/>
          <w:bCs/>
          <w:sz w:val="22"/>
        </w:rPr>
        <w:t>2</w:t>
      </w:r>
      <w:r>
        <w:rPr>
          <w:rFonts w:hint="eastAsia" w:ascii="宋体" w:hAnsi="宋体" w:cs="宋体"/>
          <w:bCs/>
          <w:sz w:val="22"/>
        </w:rPr>
        <w:t>分；品牌运用示范项目目标值</w:t>
      </w:r>
      <w:r>
        <w:rPr>
          <w:rFonts w:ascii="宋体" w:hAnsi="宋体" w:cs="宋体"/>
          <w:bCs/>
          <w:sz w:val="22"/>
        </w:rPr>
        <w:t>8</w:t>
      </w:r>
      <w:r>
        <w:rPr>
          <w:rFonts w:hint="eastAsia" w:ascii="宋体" w:hAnsi="宋体" w:cs="宋体"/>
          <w:bCs/>
          <w:sz w:val="22"/>
        </w:rPr>
        <w:t>家，完成值</w:t>
      </w:r>
      <w:r>
        <w:rPr>
          <w:rFonts w:ascii="宋体" w:hAnsi="宋体" w:cs="宋体"/>
          <w:bCs/>
          <w:sz w:val="22"/>
        </w:rPr>
        <w:t>12</w:t>
      </w:r>
      <w:r>
        <w:rPr>
          <w:rFonts w:hint="eastAsia" w:ascii="宋体" w:hAnsi="宋体" w:cs="宋体"/>
          <w:bCs/>
          <w:sz w:val="22"/>
        </w:rPr>
        <w:t>家，完成率</w:t>
      </w:r>
      <w:r>
        <w:rPr>
          <w:rFonts w:ascii="宋体" w:hAnsi="宋体" w:cs="宋体"/>
          <w:bCs/>
          <w:sz w:val="22"/>
        </w:rPr>
        <w:t>150%</w:t>
      </w:r>
      <w:r>
        <w:rPr>
          <w:rFonts w:hint="eastAsia" w:ascii="宋体" w:hAnsi="宋体" w:cs="宋体"/>
          <w:bCs/>
          <w:sz w:val="22"/>
        </w:rPr>
        <w:t>，目标设置较为保守，扣</w:t>
      </w:r>
      <w:r>
        <w:rPr>
          <w:rFonts w:ascii="宋体" w:hAnsi="宋体" w:cs="宋体"/>
          <w:bCs/>
          <w:sz w:val="22"/>
        </w:rPr>
        <w:t>1</w:t>
      </w:r>
      <w:r>
        <w:rPr>
          <w:rFonts w:hint="eastAsia" w:ascii="宋体" w:hAnsi="宋体" w:cs="宋体"/>
          <w:bCs/>
          <w:sz w:val="22"/>
        </w:rPr>
        <w:t>分。</w:t>
      </w:r>
    </w:p>
    <w:p>
      <w:pPr>
        <w:spacing w:line="360" w:lineRule="auto"/>
        <w:ind w:firstLine="440" w:firstLineChars="200"/>
        <w:rPr>
          <w:rFonts w:ascii="宋体" w:hAnsi="宋体" w:cs="宋体"/>
          <w:bCs/>
          <w:sz w:val="22"/>
        </w:rPr>
      </w:pPr>
      <w:r>
        <w:rPr>
          <w:rFonts w:hint="eastAsia" w:ascii="宋体" w:hAnsi="宋体" w:cs="宋体"/>
          <w:bCs/>
          <w:sz w:val="22"/>
        </w:rPr>
        <w:t>其中社会效益指标设置分数</w:t>
      </w:r>
      <w:r>
        <w:rPr>
          <w:rFonts w:ascii="宋体" w:hAnsi="宋体" w:cs="宋体"/>
          <w:bCs/>
          <w:sz w:val="22"/>
        </w:rPr>
        <w:t>15</w:t>
      </w:r>
      <w:r>
        <w:rPr>
          <w:rFonts w:hint="eastAsia" w:ascii="宋体" w:hAnsi="宋体" w:cs="宋体"/>
          <w:bCs/>
          <w:sz w:val="22"/>
        </w:rPr>
        <w:t>分，评价得分</w:t>
      </w:r>
      <w:r>
        <w:rPr>
          <w:rFonts w:ascii="宋体" w:hAnsi="宋体" w:cs="宋体"/>
          <w:bCs/>
          <w:sz w:val="22"/>
        </w:rPr>
        <w:t>15</w:t>
      </w:r>
      <w:r>
        <w:rPr>
          <w:rFonts w:hint="eastAsia" w:ascii="宋体" w:hAnsi="宋体" w:cs="宋体"/>
          <w:bCs/>
          <w:sz w:val="22"/>
        </w:rPr>
        <w:t>分。“三大工程”项目在海外护航项目、高价值专利增幅、发明专利拥有量等各项社会成效显著。</w:t>
      </w:r>
    </w:p>
    <w:p>
      <w:pPr>
        <w:spacing w:line="360" w:lineRule="auto"/>
        <w:ind w:firstLine="440" w:firstLineChars="200"/>
        <w:rPr>
          <w:rFonts w:ascii="宋体" w:hAnsi="宋体" w:cs="宋体"/>
          <w:bCs/>
          <w:sz w:val="22"/>
        </w:rPr>
      </w:pPr>
      <w:r>
        <w:rPr>
          <w:rFonts w:hint="eastAsia" w:ascii="宋体" w:hAnsi="宋体" w:cs="宋体"/>
          <w:bCs/>
          <w:sz w:val="22"/>
        </w:rPr>
        <w:t>其中经济效益指标设置分数</w:t>
      </w:r>
      <w:r>
        <w:rPr>
          <w:rFonts w:ascii="宋体" w:hAnsi="宋体" w:cs="宋体"/>
          <w:bCs/>
          <w:sz w:val="22"/>
        </w:rPr>
        <w:t>10</w:t>
      </w:r>
      <w:r>
        <w:rPr>
          <w:rFonts w:hint="eastAsia" w:ascii="宋体" w:hAnsi="宋体" w:cs="宋体"/>
          <w:bCs/>
          <w:sz w:val="22"/>
        </w:rPr>
        <w:t>分，评价得分</w:t>
      </w:r>
      <w:r>
        <w:rPr>
          <w:rFonts w:ascii="宋体" w:hAnsi="宋体" w:cs="宋体"/>
          <w:bCs/>
          <w:sz w:val="22"/>
        </w:rPr>
        <w:t>10</w:t>
      </w:r>
      <w:r>
        <w:rPr>
          <w:rFonts w:hint="eastAsia" w:ascii="宋体" w:hAnsi="宋体" w:cs="宋体"/>
          <w:bCs/>
          <w:sz w:val="22"/>
        </w:rPr>
        <w:t>分。2021年湖北省知识产权质押融资金额50.26亿，同比增长54.4%，经济效益较为明显。</w:t>
      </w:r>
    </w:p>
    <w:p>
      <w:pPr>
        <w:spacing w:line="360" w:lineRule="auto"/>
        <w:ind w:firstLine="440" w:firstLineChars="200"/>
        <w:rPr>
          <w:rFonts w:ascii="宋体" w:hAnsi="宋体" w:cs="宋体"/>
          <w:bCs/>
          <w:sz w:val="22"/>
        </w:rPr>
      </w:pPr>
      <w:r>
        <w:rPr>
          <w:rFonts w:hint="eastAsia" w:ascii="宋体" w:hAnsi="宋体" w:cs="宋体"/>
          <w:bCs/>
          <w:sz w:val="22"/>
        </w:rPr>
        <w:t>其中满意度指标设置分数</w:t>
      </w:r>
      <w:r>
        <w:rPr>
          <w:rFonts w:ascii="宋体" w:hAnsi="宋体" w:cs="宋体"/>
          <w:bCs/>
          <w:sz w:val="22"/>
        </w:rPr>
        <w:t>10</w:t>
      </w:r>
      <w:r>
        <w:rPr>
          <w:rFonts w:hint="eastAsia" w:ascii="宋体" w:hAnsi="宋体" w:cs="宋体"/>
          <w:bCs/>
          <w:sz w:val="22"/>
        </w:rPr>
        <w:t>分，评价得分</w:t>
      </w:r>
      <w:r>
        <w:rPr>
          <w:rFonts w:ascii="宋体" w:hAnsi="宋体" w:cs="宋体"/>
          <w:bCs/>
          <w:sz w:val="22"/>
        </w:rPr>
        <w:t>10</w:t>
      </w:r>
      <w:r>
        <w:rPr>
          <w:rFonts w:hint="eastAsia" w:ascii="宋体" w:hAnsi="宋体" w:cs="宋体"/>
          <w:bCs/>
          <w:sz w:val="22"/>
        </w:rPr>
        <w:t>分。我们通过问卷调查的方式，共收集有效调查问卷</w:t>
      </w:r>
      <w:r>
        <w:rPr>
          <w:rFonts w:ascii="宋体" w:hAnsi="宋体" w:cs="宋体"/>
          <w:bCs/>
          <w:sz w:val="22"/>
        </w:rPr>
        <w:t>163</w:t>
      </w:r>
      <w:r>
        <w:rPr>
          <w:rFonts w:hint="eastAsia" w:ascii="宋体" w:hAnsi="宋体" w:cs="宋体"/>
          <w:bCs/>
          <w:sz w:val="22"/>
        </w:rPr>
        <w:t>份，经统计计算满意度为9</w:t>
      </w:r>
      <w:r>
        <w:rPr>
          <w:rFonts w:ascii="宋体" w:hAnsi="宋体" w:cs="宋体"/>
          <w:bCs/>
          <w:sz w:val="22"/>
        </w:rPr>
        <w:t>6</w:t>
      </w:r>
      <w:r>
        <w:rPr>
          <w:rFonts w:hint="eastAsia" w:ascii="宋体" w:hAnsi="宋体" w:cs="宋体"/>
          <w:bCs/>
          <w:sz w:val="22"/>
        </w:rPr>
        <w:t>.8</w:t>
      </w:r>
      <w:r>
        <w:rPr>
          <w:rFonts w:ascii="宋体" w:hAnsi="宋体" w:cs="宋体"/>
          <w:bCs/>
          <w:sz w:val="22"/>
        </w:rPr>
        <w:t>3%</w:t>
      </w:r>
      <w:r>
        <w:rPr>
          <w:rFonts w:hint="eastAsia" w:ascii="宋体" w:hAnsi="宋体" w:cs="宋体"/>
          <w:bCs/>
          <w:sz w:val="22"/>
        </w:rPr>
        <w:t>，满意度较高，“三大工程”项目的实施得到各参与单位的认可。</w:t>
      </w:r>
    </w:p>
    <w:p>
      <w:pPr>
        <w:spacing w:line="360" w:lineRule="auto"/>
        <w:ind w:firstLine="440" w:firstLineChars="200"/>
        <w:rPr>
          <w:rFonts w:ascii="宋体" w:hAnsi="宋体" w:cs="宋体"/>
          <w:bCs/>
          <w:sz w:val="22"/>
        </w:rPr>
      </w:pPr>
      <w:r>
        <w:rPr>
          <w:rFonts w:hint="eastAsia" w:ascii="宋体" w:hAnsi="宋体" w:cs="宋体"/>
          <w:bCs/>
          <w:sz w:val="22"/>
        </w:rPr>
        <w:t>该项指标具体评分结果如下：</w:t>
      </w:r>
    </w:p>
    <w:tbl>
      <w:tblPr>
        <w:tblStyle w:val="15"/>
        <w:tblW w:w="4863" w:type="pct"/>
        <w:tblInd w:w="0" w:type="dxa"/>
        <w:tblLayout w:type="fixed"/>
        <w:tblCellMar>
          <w:top w:w="0" w:type="dxa"/>
          <w:left w:w="108" w:type="dxa"/>
          <w:bottom w:w="0" w:type="dxa"/>
          <w:right w:w="108" w:type="dxa"/>
        </w:tblCellMar>
      </w:tblPr>
      <w:tblGrid>
        <w:gridCol w:w="1298"/>
        <w:gridCol w:w="1608"/>
        <w:gridCol w:w="2475"/>
        <w:gridCol w:w="1165"/>
        <w:gridCol w:w="876"/>
        <w:gridCol w:w="871"/>
      </w:tblGrid>
      <w:tr>
        <w:tblPrEx>
          <w:tblCellMar>
            <w:top w:w="0" w:type="dxa"/>
            <w:left w:w="108" w:type="dxa"/>
            <w:bottom w:w="0" w:type="dxa"/>
            <w:right w:w="108" w:type="dxa"/>
          </w:tblCellMar>
        </w:tblPrEx>
        <w:trPr>
          <w:trHeight w:val="300" w:hRule="atLeast"/>
          <w:tblHeader/>
        </w:trPr>
        <w:tc>
          <w:tcPr>
            <w:tcW w:w="7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9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4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分值</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得分</w:t>
            </w:r>
          </w:p>
        </w:tc>
        <w:tc>
          <w:tcPr>
            <w:tcW w:w="525" w:type="pct"/>
            <w:tcBorders>
              <w:top w:val="single" w:color="auto" w:sz="4" w:space="0"/>
              <w:left w:val="nil"/>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扣分</w:t>
            </w:r>
          </w:p>
        </w:tc>
      </w:tr>
      <w:tr>
        <w:tblPrEx>
          <w:tblCellMar>
            <w:top w:w="0" w:type="dxa"/>
            <w:left w:w="108" w:type="dxa"/>
            <w:bottom w:w="0" w:type="dxa"/>
            <w:right w:w="108" w:type="dxa"/>
          </w:tblCellMar>
        </w:tblPrEx>
        <w:trPr>
          <w:trHeight w:val="520" w:hRule="atLeast"/>
        </w:trPr>
        <w:tc>
          <w:tcPr>
            <w:tcW w:w="783" w:type="pct"/>
            <w:vMerge w:val="restart"/>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项目效益</w:t>
            </w:r>
          </w:p>
          <w:p>
            <w:pPr>
              <w:jc w:val="center"/>
              <w:rPr>
                <w:rFonts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5</w:t>
            </w:r>
            <w:r>
              <w:rPr>
                <w:rFonts w:hint="eastAsia" w:ascii="宋体" w:hAnsi="宋体" w:cs="宋体"/>
                <w:kern w:val="0"/>
                <w:sz w:val="20"/>
                <w:szCs w:val="20"/>
              </w:rPr>
              <w:t>分）</w:t>
            </w:r>
          </w:p>
        </w:tc>
        <w:tc>
          <w:tcPr>
            <w:tcW w:w="970" w:type="pct"/>
            <w:vMerge w:val="restart"/>
            <w:tcBorders>
              <w:left w:val="nil"/>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产出数量</w:t>
            </w:r>
          </w:p>
          <w:p>
            <w:pPr>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r>
              <w:rPr>
                <w:rFonts w:hint="eastAsia" w:ascii="宋体" w:hAnsi="宋体" w:cs="宋体"/>
                <w:kern w:val="0"/>
                <w:sz w:val="20"/>
                <w:szCs w:val="20"/>
              </w:rPr>
              <w:t>分）</w:t>
            </w: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高价值培育项目数</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高价值品牌培育项目</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品牌海外护航项目</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2</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品牌运用示范项目</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525" w:type="pct"/>
            <w:tcBorders>
              <w:top w:val="nil"/>
              <w:left w:val="nil"/>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restart"/>
            <w:tcBorders>
              <w:top w:val="single" w:color="auto" w:sz="4" w:space="0"/>
              <w:left w:val="nil"/>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社会效益</w:t>
            </w:r>
          </w:p>
          <w:p>
            <w:pPr>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15</w:t>
            </w:r>
            <w:r>
              <w:rPr>
                <w:rFonts w:hint="eastAsia" w:ascii="宋体" w:hAnsi="宋体" w:cs="宋体"/>
                <w:kern w:val="0"/>
                <w:sz w:val="20"/>
                <w:szCs w:val="20"/>
              </w:rPr>
              <w:t>分）</w:t>
            </w: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护航湖北省重点“走出去”企业数量</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知识产权优势企业培育工程成效</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vMerge w:val="continue"/>
            <w:tcBorders>
              <w:left w:val="nil"/>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知识产权创造能力提升成效</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340" w:hRule="atLeast"/>
        </w:trPr>
        <w:tc>
          <w:tcPr>
            <w:tcW w:w="783" w:type="pct"/>
            <w:vMerge w:val="continue"/>
            <w:tcBorders>
              <w:left w:val="single" w:color="auto" w:sz="4" w:space="0"/>
              <w:right w:val="single" w:color="auto" w:sz="4" w:space="0"/>
            </w:tcBorders>
            <w:shd w:val="clear" w:color="auto" w:fill="auto"/>
            <w:noWrap/>
            <w:vAlign w:val="center"/>
          </w:tcPr>
          <w:p>
            <w:pPr>
              <w:jc w:val="center"/>
              <w:rPr>
                <w:rFonts w:ascii="宋体" w:hAnsi="宋体" w:cs="宋体"/>
                <w:kern w:val="0"/>
                <w:sz w:val="20"/>
                <w:szCs w:val="20"/>
              </w:rPr>
            </w:pPr>
          </w:p>
        </w:tc>
        <w:tc>
          <w:tcPr>
            <w:tcW w:w="97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经济效益</w:t>
            </w:r>
          </w:p>
          <w:p>
            <w:pPr>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分）</w:t>
            </w: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知识产权市场化运营机制健全情况</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10</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10</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511" w:hRule="atLeast"/>
        </w:trPr>
        <w:tc>
          <w:tcPr>
            <w:tcW w:w="783"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9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分）</w:t>
            </w:r>
          </w:p>
        </w:tc>
        <w:tc>
          <w:tcPr>
            <w:tcW w:w="14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受益对象满意度</w:t>
            </w:r>
          </w:p>
        </w:tc>
        <w:tc>
          <w:tcPr>
            <w:tcW w:w="70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10</w:t>
            </w:r>
          </w:p>
        </w:tc>
        <w:tc>
          <w:tcPr>
            <w:tcW w:w="5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10</w:t>
            </w:r>
          </w:p>
        </w:tc>
        <w:tc>
          <w:tcPr>
            <w:tcW w:w="525"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18"/>
              </w:rPr>
            </w:pPr>
            <w:r>
              <w:rPr>
                <w:rFonts w:hint="eastAsia" w:ascii="宋体" w:hAnsi="宋体" w:cs="宋体"/>
                <w:color w:val="000000"/>
                <w:kern w:val="0"/>
                <w:sz w:val="20"/>
                <w:szCs w:val="18"/>
              </w:rPr>
              <w:t>　</w:t>
            </w:r>
          </w:p>
        </w:tc>
      </w:tr>
      <w:tr>
        <w:tblPrEx>
          <w:tblCellMar>
            <w:top w:w="0" w:type="dxa"/>
            <w:left w:w="108" w:type="dxa"/>
            <w:bottom w:w="0" w:type="dxa"/>
            <w:right w:w="108" w:type="dxa"/>
          </w:tblCellMar>
        </w:tblPrEx>
        <w:trPr>
          <w:trHeight w:val="280" w:hRule="atLeast"/>
        </w:trPr>
        <w:tc>
          <w:tcPr>
            <w:tcW w:w="1752"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color w:val="000000"/>
                <w:kern w:val="0"/>
                <w:sz w:val="20"/>
                <w:szCs w:val="18"/>
              </w:rPr>
            </w:pPr>
            <w:r>
              <w:rPr>
                <w:rFonts w:hint="eastAsia" w:ascii="宋体" w:hAnsi="宋体" w:cs="宋体"/>
                <w:b/>
                <w:color w:val="000000"/>
                <w:kern w:val="0"/>
                <w:sz w:val="20"/>
                <w:szCs w:val="18"/>
              </w:rPr>
              <w:t>合计</w:t>
            </w:r>
          </w:p>
        </w:tc>
        <w:tc>
          <w:tcPr>
            <w:tcW w:w="149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0"/>
                <w:szCs w:val="18"/>
              </w:rPr>
            </w:pPr>
            <w:r>
              <w:rPr>
                <w:rFonts w:hint="eastAsia" w:ascii="宋体" w:hAnsi="宋体" w:cs="宋体"/>
                <w:b/>
                <w:kern w:val="0"/>
                <w:sz w:val="20"/>
                <w:szCs w:val="18"/>
              </w:rPr>
              <w:t>　</w:t>
            </w:r>
          </w:p>
        </w:tc>
        <w:tc>
          <w:tcPr>
            <w:tcW w:w="7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55</w:t>
            </w:r>
          </w:p>
        </w:tc>
        <w:tc>
          <w:tcPr>
            <w:tcW w:w="52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52</w:t>
            </w:r>
          </w:p>
        </w:tc>
        <w:tc>
          <w:tcPr>
            <w:tcW w:w="5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18"/>
              </w:rPr>
            </w:pPr>
            <w:r>
              <w:rPr>
                <w:rFonts w:ascii="宋体" w:hAnsi="宋体" w:cs="宋体"/>
                <w:b/>
                <w:color w:val="000000"/>
                <w:kern w:val="0"/>
                <w:sz w:val="20"/>
                <w:szCs w:val="18"/>
              </w:rPr>
              <w:t>3</w:t>
            </w:r>
          </w:p>
        </w:tc>
      </w:tr>
    </w:tbl>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存在的问题</w:t>
      </w:r>
    </w:p>
    <w:p>
      <w:pPr>
        <w:spacing w:line="360" w:lineRule="auto"/>
        <w:ind w:firstLine="440" w:firstLineChars="200"/>
        <w:rPr>
          <w:rFonts w:ascii="宋体" w:hAnsi="宋体" w:cs="宋体"/>
          <w:bCs/>
          <w:sz w:val="22"/>
        </w:rPr>
      </w:pPr>
      <w:r>
        <w:rPr>
          <w:rFonts w:hint="eastAsia" w:ascii="宋体" w:hAnsi="宋体" w:cs="宋体"/>
          <w:bCs/>
          <w:sz w:val="22"/>
        </w:rPr>
        <w:t>（一）项目管理方面有待进一步细化，不利于发挥财政资金的社会引导作用</w:t>
      </w:r>
    </w:p>
    <w:p>
      <w:pPr>
        <w:spacing w:line="360" w:lineRule="auto"/>
        <w:ind w:firstLine="440" w:firstLineChars="200"/>
        <w:rPr>
          <w:rFonts w:ascii="宋体" w:hAnsi="宋体" w:cs="宋体"/>
          <w:bCs/>
          <w:sz w:val="22"/>
        </w:rPr>
      </w:pPr>
      <w:r>
        <w:rPr>
          <w:rFonts w:hint="eastAsia" w:ascii="宋体" w:hAnsi="宋体" w:cs="宋体"/>
          <w:bCs/>
          <w:sz w:val="22"/>
        </w:rPr>
        <w:t>湖北省知识产权局本年度“三大工程”资金支出合计2</w:t>
      </w:r>
      <w:r>
        <w:rPr>
          <w:rFonts w:ascii="宋体" w:hAnsi="宋体" w:cs="宋体"/>
          <w:bCs/>
          <w:sz w:val="22"/>
        </w:rPr>
        <w:t>105</w:t>
      </w:r>
      <w:r>
        <w:rPr>
          <w:rFonts w:hint="eastAsia" w:ascii="宋体" w:hAnsi="宋体" w:cs="宋体"/>
          <w:bCs/>
          <w:sz w:val="22"/>
        </w:rPr>
        <w:t>万元，其中：高价值培育工程项目金额860万元；海外护航工程项目金额690万元；运用示范工程项目金额555万元。湖北省知识产权局制定了专项资金管理办法、三个项目管理办法及实施方案，明确了专项资金实行奖励和补助两种方式，但并未将各类项目申报资格条件、奖补发放标准、发放时间、验收条件、奖补资金使用范围等予以细化，在评审发放环节，按照资金预算选择项目库前N名进行资金平均分配，而非以项目申报单位资格条件、实施质量作为项目资金的发放的依据，不利于项目申报单位从根本上提升知识产权创造、保护、运用等方面的质量，不利于发挥财政资金社会引导作用。</w:t>
      </w:r>
    </w:p>
    <w:p>
      <w:pPr>
        <w:spacing w:line="360" w:lineRule="auto"/>
        <w:ind w:firstLine="440" w:firstLineChars="200"/>
        <w:rPr>
          <w:rFonts w:ascii="宋体" w:hAnsi="宋体" w:cs="宋体"/>
          <w:bCs/>
          <w:sz w:val="22"/>
        </w:rPr>
      </w:pPr>
      <w:r>
        <w:rPr>
          <w:rFonts w:hint="eastAsia" w:ascii="宋体" w:hAnsi="宋体" w:cs="宋体"/>
          <w:bCs/>
          <w:sz w:val="22"/>
        </w:rPr>
        <w:t>（二）绩效目标设置不全面，部分指标值设置不合理</w:t>
      </w:r>
    </w:p>
    <w:p>
      <w:pPr>
        <w:spacing w:line="360" w:lineRule="auto"/>
        <w:ind w:firstLine="440" w:firstLineChars="200"/>
        <w:rPr>
          <w:rFonts w:ascii="宋体" w:hAnsi="宋体" w:cs="宋体"/>
          <w:bCs/>
          <w:sz w:val="22"/>
        </w:rPr>
      </w:pPr>
      <w:r>
        <w:rPr>
          <w:rFonts w:hint="eastAsia" w:ascii="宋体" w:hAnsi="宋体" w:cs="宋体"/>
          <w:bCs/>
          <w:sz w:val="22"/>
        </w:rPr>
        <w:t>绩效目标的设置应当清晰反应预算资金的预期产出和效果，并以相应的绩效指标予以细化、量化描述。绩效指标主要包括产出指标、效益指标和满意度指标。“三大工程”项目当前设置的绩效目标主要集中于产出指标中的数量指标，设置的指标多为当年奖补的项目数，考核比较简单，质量不高。不能较好的反映专项资金的具体产出情况，无法有效评价项目实施效果。</w:t>
      </w:r>
    </w:p>
    <w:p>
      <w:pPr>
        <w:spacing w:line="360" w:lineRule="auto"/>
        <w:ind w:firstLine="440" w:firstLineChars="200"/>
        <w:rPr>
          <w:rFonts w:ascii="宋体" w:hAnsi="宋体" w:cs="宋体"/>
          <w:bCs/>
          <w:sz w:val="22"/>
        </w:rPr>
      </w:pPr>
      <w:r>
        <w:rPr>
          <w:rFonts w:hint="eastAsia" w:ascii="宋体" w:hAnsi="宋体" w:cs="宋体"/>
          <w:bCs/>
          <w:sz w:val="22"/>
        </w:rPr>
        <w:t>个别项目指标值设置不合理，如品牌海外护航项目≥</w:t>
      </w:r>
      <w:r>
        <w:rPr>
          <w:rFonts w:ascii="宋体" w:hAnsi="宋体" w:cs="宋体"/>
          <w:bCs/>
          <w:sz w:val="22"/>
        </w:rPr>
        <w:t>2</w:t>
      </w:r>
      <w:r>
        <w:rPr>
          <w:rFonts w:hint="eastAsia" w:ascii="宋体" w:hAnsi="宋体" w:cs="宋体"/>
          <w:bCs/>
          <w:sz w:val="22"/>
        </w:rPr>
        <w:t>个，完成值</w:t>
      </w:r>
      <w:r>
        <w:rPr>
          <w:rFonts w:ascii="宋体" w:hAnsi="宋体" w:cs="宋体"/>
          <w:bCs/>
          <w:sz w:val="22"/>
        </w:rPr>
        <w:t>6</w:t>
      </w:r>
      <w:r>
        <w:rPr>
          <w:rFonts w:hint="eastAsia" w:ascii="宋体" w:hAnsi="宋体" w:cs="宋体"/>
          <w:bCs/>
          <w:sz w:val="22"/>
        </w:rPr>
        <w:t>个，完成率</w:t>
      </w:r>
      <w:r>
        <w:rPr>
          <w:rFonts w:ascii="宋体" w:hAnsi="宋体" w:cs="宋体"/>
          <w:bCs/>
          <w:sz w:val="22"/>
        </w:rPr>
        <w:t>300</w:t>
      </w:r>
      <w:r>
        <w:rPr>
          <w:rFonts w:hint="eastAsia" w:ascii="宋体" w:hAnsi="宋体" w:cs="宋体"/>
          <w:bCs/>
          <w:sz w:val="22"/>
        </w:rPr>
        <w:t>%，且2020年度该指标值为</w:t>
      </w:r>
      <w:r>
        <w:rPr>
          <w:rFonts w:ascii="宋体" w:hAnsi="宋体" w:cs="宋体"/>
          <w:bCs/>
          <w:sz w:val="22"/>
        </w:rPr>
        <w:t>7</w:t>
      </w:r>
      <w:r>
        <w:rPr>
          <w:rFonts w:hint="eastAsia" w:ascii="宋体" w:hAnsi="宋体" w:cs="宋体"/>
          <w:bCs/>
          <w:sz w:val="22"/>
        </w:rPr>
        <w:t>个，本年度指标值较上年下降；品牌运用示范项目≥</w:t>
      </w:r>
      <w:r>
        <w:rPr>
          <w:rFonts w:ascii="宋体" w:hAnsi="宋体" w:cs="宋体"/>
          <w:bCs/>
          <w:sz w:val="22"/>
        </w:rPr>
        <w:t>8</w:t>
      </w:r>
      <w:r>
        <w:rPr>
          <w:rFonts w:hint="eastAsia" w:ascii="宋体" w:hAnsi="宋体" w:cs="宋体"/>
          <w:bCs/>
          <w:sz w:val="22"/>
        </w:rPr>
        <w:t>个，完成值</w:t>
      </w:r>
      <w:r>
        <w:rPr>
          <w:rFonts w:ascii="宋体" w:hAnsi="宋体" w:cs="宋体"/>
          <w:bCs/>
          <w:sz w:val="22"/>
        </w:rPr>
        <w:t>12</w:t>
      </w:r>
      <w:r>
        <w:rPr>
          <w:rFonts w:hint="eastAsia" w:ascii="宋体" w:hAnsi="宋体" w:cs="宋体"/>
          <w:bCs/>
          <w:sz w:val="22"/>
        </w:rPr>
        <w:t>个，完成率</w:t>
      </w:r>
      <w:r>
        <w:rPr>
          <w:rFonts w:ascii="宋体" w:hAnsi="宋体" w:cs="宋体"/>
          <w:bCs/>
          <w:sz w:val="22"/>
        </w:rPr>
        <w:t>150</w:t>
      </w:r>
      <w:r>
        <w:rPr>
          <w:rFonts w:hint="eastAsia" w:ascii="宋体" w:hAnsi="宋体" w:cs="宋体"/>
          <w:bCs/>
          <w:sz w:val="22"/>
        </w:rPr>
        <w:t>%，且2020年度该指标值为</w:t>
      </w:r>
      <w:r>
        <w:rPr>
          <w:rFonts w:ascii="宋体" w:hAnsi="宋体" w:cs="宋体"/>
          <w:bCs/>
          <w:sz w:val="22"/>
        </w:rPr>
        <w:t>12</w:t>
      </w:r>
      <w:r>
        <w:rPr>
          <w:rFonts w:hint="eastAsia" w:ascii="宋体" w:hAnsi="宋体" w:cs="宋体"/>
          <w:bCs/>
          <w:sz w:val="22"/>
        </w:rPr>
        <w:t>个，本年度指标值较上年下降。</w:t>
      </w:r>
    </w:p>
    <w:p>
      <w:pPr>
        <w:spacing w:line="360" w:lineRule="auto"/>
        <w:ind w:firstLine="440" w:firstLineChars="200"/>
        <w:rPr>
          <w:rFonts w:ascii="宋体" w:hAnsi="宋体" w:cs="宋体"/>
          <w:bCs/>
          <w:sz w:val="22"/>
        </w:rPr>
      </w:pPr>
      <w:r>
        <w:rPr>
          <w:rFonts w:hint="eastAsia" w:ascii="宋体" w:hAnsi="宋体" w:cs="宋体"/>
          <w:bCs/>
          <w:sz w:val="22"/>
        </w:rPr>
        <w:t>（三）预算编制不精确，预算执行不严格</w:t>
      </w:r>
    </w:p>
    <w:p>
      <w:pPr>
        <w:spacing w:line="360" w:lineRule="auto"/>
        <w:ind w:firstLine="440" w:firstLineChars="200"/>
        <w:rPr>
          <w:rFonts w:ascii="宋体" w:hAnsi="宋体" w:cs="宋体"/>
          <w:bCs/>
          <w:sz w:val="22"/>
        </w:rPr>
      </w:pPr>
      <w:r>
        <w:rPr>
          <w:rFonts w:hint="eastAsia" w:ascii="宋体" w:hAnsi="宋体" w:cs="宋体"/>
          <w:bCs/>
          <w:sz w:val="22"/>
        </w:rPr>
        <w:t>湖北省知识产权局在编制年度预算时，应当以各项目实施的工作目标及任务为基础，科学合理地编制预算需求，并与年度工作实施期限、支出标准、实施方案相匹配，保证预算编制精准，在执行环节，应当严格按照年度预算及项目实施方案执行。</w:t>
      </w:r>
    </w:p>
    <w:p>
      <w:pPr>
        <w:spacing w:line="360" w:lineRule="auto"/>
        <w:ind w:firstLine="440" w:firstLineChars="200"/>
        <w:rPr>
          <w:rFonts w:ascii="宋体" w:hAnsi="宋体" w:cs="宋体"/>
          <w:bCs/>
          <w:sz w:val="22"/>
        </w:rPr>
      </w:pPr>
      <w:r>
        <w:rPr>
          <w:rFonts w:hint="eastAsia" w:ascii="宋体" w:hAnsi="宋体" w:cs="宋体"/>
          <w:bCs/>
          <w:sz w:val="22"/>
        </w:rPr>
        <w:t>湖北省知识产权局在“三大工程”不同项目间调剂预算的情况：高价值培育工程项目（专利及品牌）预算资金1020万元，实际执行860万元；运用示范工程项目预算金额480万元，实际执行555万元。</w:t>
      </w:r>
    </w:p>
    <w:p>
      <w:pPr>
        <w:spacing w:line="360" w:lineRule="auto"/>
        <w:ind w:firstLine="440" w:firstLineChars="200"/>
        <w:rPr>
          <w:rFonts w:ascii="宋体" w:hAnsi="宋体" w:cs="宋体"/>
          <w:bCs/>
          <w:sz w:val="22"/>
        </w:rPr>
      </w:pPr>
      <w:r>
        <w:rPr>
          <w:rFonts w:hint="eastAsia" w:ascii="宋体" w:hAnsi="宋体" w:cs="宋体"/>
          <w:bCs/>
          <w:sz w:val="22"/>
        </w:rPr>
        <w:t>各类奖补资金均为一次性项目，原则上应当当年评审、当年支付，但在实际执行中，个别奖补资金存在跨年度结算情况。运用示范工程2019年验收通过的武汉大学等四所高校共计40万补助资金应于2020年发放补助，但实际于2021年发放，同时应当于2021年发放的三峡大学等五所高校院所补助资金约50万元，本年度并未实际支付。</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相关建议</w:t>
      </w:r>
    </w:p>
    <w:p>
      <w:pPr>
        <w:spacing w:line="360" w:lineRule="auto"/>
        <w:ind w:firstLine="440" w:firstLineChars="200"/>
        <w:rPr>
          <w:rFonts w:ascii="宋体" w:hAnsi="宋体" w:cs="宋体"/>
          <w:bCs/>
          <w:sz w:val="22"/>
        </w:rPr>
      </w:pPr>
      <w:r>
        <w:rPr>
          <w:rFonts w:hint="eastAsia"/>
          <w:sz w:val="22"/>
        </w:rPr>
        <w:t>（</w:t>
      </w:r>
      <w:r>
        <w:rPr>
          <w:rFonts w:hint="eastAsia" w:ascii="宋体" w:hAnsi="宋体" w:cs="宋体"/>
          <w:bCs/>
          <w:sz w:val="22"/>
        </w:rPr>
        <w:t>一）完善奖补项目管理制度，提高财政专项资金使用质量</w:t>
      </w:r>
    </w:p>
    <w:p>
      <w:pPr>
        <w:spacing w:line="360" w:lineRule="auto"/>
        <w:ind w:firstLine="440" w:firstLineChars="200"/>
        <w:rPr>
          <w:rFonts w:ascii="宋体" w:hAnsi="宋体" w:cs="宋体"/>
          <w:bCs/>
          <w:sz w:val="22"/>
        </w:rPr>
      </w:pPr>
      <w:r>
        <w:rPr>
          <w:rFonts w:hint="eastAsia" w:ascii="宋体" w:hAnsi="宋体" w:cs="宋体"/>
          <w:bCs/>
          <w:sz w:val="22"/>
        </w:rPr>
        <w:t>湖北省知识产权局应当根据专项资金实施情况，完善“三大工程”奖补资金的配套机制，明确奖补资金发放的资格条件、办理程序，以及发放的标准以及终止发放、资金管理、验收标准、奖惩监督方式等，选择以资格条件为前提的政策导向作用，增强专项资金在社会申报中的预期，切实发挥财政资金在知识产权领域的引导、激励作用。通过加强奖补项目的全过程的监督管理，保证奖补资金项目公平、公正，实施过程的合法合规，切实提高资金使用效益。</w:t>
      </w:r>
    </w:p>
    <w:p>
      <w:pPr>
        <w:spacing w:line="360" w:lineRule="auto"/>
        <w:ind w:firstLine="440" w:firstLineChars="200"/>
        <w:rPr>
          <w:rFonts w:ascii="宋体" w:hAnsi="宋体" w:cs="宋体"/>
          <w:bCs/>
          <w:sz w:val="22"/>
        </w:rPr>
      </w:pPr>
      <w:r>
        <w:rPr>
          <w:rFonts w:hint="eastAsia" w:ascii="宋体" w:hAnsi="宋体" w:cs="宋体"/>
          <w:bCs/>
          <w:sz w:val="22"/>
        </w:rPr>
        <w:t>（二）有序推进项目绩效指标体系建设，实现预算指标科学合理、细化量化</w:t>
      </w:r>
    </w:p>
    <w:p>
      <w:pPr>
        <w:spacing w:line="360" w:lineRule="auto"/>
        <w:ind w:firstLine="440" w:firstLineChars="200"/>
        <w:rPr>
          <w:rFonts w:ascii="宋体" w:hAnsi="宋体" w:cs="宋体"/>
          <w:bCs/>
          <w:sz w:val="22"/>
        </w:rPr>
      </w:pPr>
      <w:r>
        <w:rPr>
          <w:rFonts w:hint="eastAsia" w:ascii="宋体" w:hAnsi="宋体" w:cs="宋体"/>
          <w:bCs/>
          <w:sz w:val="22"/>
        </w:rPr>
        <w:t>湖北省知识产权局应当根据“三大工程”项目实施的预期目标，逐步按年度归纳、分解，细化年度工作任务清单，并通过具体绩效指标予以细化、量化，指标值的设定要在考虑可实现性的基础上，尽量从严、从高设定，避免选用难以确定具体指标值、标准不明确或缺乏约束力的指标。在指标值设置上应当遵循适度压力的原则。指标值设置应当具有挑战性和压力性。原则上，相同指标的指标值设置应当较上年完成情况有所提升。</w:t>
      </w:r>
    </w:p>
    <w:p>
      <w:pPr>
        <w:spacing w:line="360" w:lineRule="auto"/>
        <w:ind w:firstLine="440" w:firstLineChars="200"/>
        <w:rPr>
          <w:rFonts w:ascii="宋体" w:hAnsi="宋体" w:cs="宋体"/>
          <w:bCs/>
          <w:sz w:val="22"/>
        </w:rPr>
      </w:pPr>
      <w:r>
        <w:rPr>
          <w:rFonts w:hint="eastAsia" w:ascii="宋体" w:hAnsi="宋体" w:cs="宋体"/>
          <w:bCs/>
          <w:sz w:val="22"/>
        </w:rPr>
        <w:t>湖北省知识产权局应当遵循上述科学的方法有序推进绩效指标体系的建设，结合“三大工程”项目实施的特点，设立个性指标，并不断优化整理，从而形成绩效指标库。绩效指标应当包括成本指标、产出指标、效益指标和满意度指标四类一级指标，原则上每一项目均应设置产出指标和效益指标，湖北省知识产权局应当关注绩效指标的全面性、整体性。在社会服务满意度方面，可以通过技术手段在官方网站、服务窗口、项目申报通知或指南等处设置问卷链接二维码，建设社会满意度调查社会取样渠道。同时应当以制度化的方式，将绩效指标完成值取值方式、绩效指标赋分规则、绩效评分体系评分规则，保证整个绩效评价工作过程公开透明、有据可依。</w:t>
      </w:r>
    </w:p>
    <w:p>
      <w:pPr>
        <w:spacing w:line="360" w:lineRule="auto"/>
        <w:ind w:firstLine="440" w:firstLineChars="200"/>
        <w:rPr>
          <w:rFonts w:ascii="宋体" w:hAnsi="宋体" w:cs="宋体"/>
          <w:bCs/>
          <w:sz w:val="22"/>
        </w:rPr>
      </w:pPr>
      <w:r>
        <w:rPr>
          <w:rFonts w:hint="eastAsia" w:ascii="宋体" w:hAnsi="宋体" w:cs="宋体"/>
          <w:bCs/>
          <w:sz w:val="22"/>
        </w:rPr>
        <w:t>（三）推动项目预算精细化管理，提高财政预算执行的效果</w:t>
      </w:r>
    </w:p>
    <w:p>
      <w:pPr>
        <w:spacing w:line="360" w:lineRule="auto"/>
        <w:ind w:firstLine="440" w:firstLineChars="200"/>
        <w:rPr>
          <w:rFonts w:ascii="宋体" w:hAnsi="宋体" w:cs="宋体"/>
          <w:bCs/>
          <w:sz w:val="22"/>
        </w:rPr>
      </w:pPr>
      <w:r>
        <w:rPr>
          <w:rFonts w:hint="eastAsia" w:ascii="宋体" w:hAnsi="宋体" w:cs="宋体"/>
          <w:bCs/>
          <w:sz w:val="22"/>
        </w:rPr>
        <w:t>湖北省知识产权局应当根据“三大工程”的长期发展目标情况、历年项目支出情况、年度工作计划、任务科学准确编制项目预算，形成稳定、成熟的预算支出体系，实现预算项目编制标准化、模块化、科学化、常态化。切实提高预算管理的精细化程度，更有效发挥预算编制对预算执行的促进作用。同时将预算执行结果与各部门年度考核挂钩，切实做到“花钱必问效，无效必问责”，充分发挥财政资金的效益，提高预算执行的效果。</w:t>
      </w: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绩效评价结果应用</w:t>
      </w:r>
    </w:p>
    <w:p>
      <w:pPr>
        <w:spacing w:line="360" w:lineRule="auto"/>
        <w:ind w:firstLine="440" w:firstLineChars="200"/>
        <w:rPr>
          <w:rFonts w:ascii="宋体" w:hAnsi="宋体" w:cs="宋体"/>
          <w:bCs/>
          <w:sz w:val="22"/>
        </w:rPr>
      </w:pPr>
      <w:r>
        <w:rPr>
          <w:rFonts w:hint="eastAsia" w:ascii="宋体" w:hAnsi="宋体" w:cs="宋体"/>
          <w:bCs/>
          <w:sz w:val="22"/>
        </w:rPr>
        <w:t>实施湖北省知识产权局2021年“三大工程”绩效评价工作，是湖北省知识产权局对2021年度“三大工程”项目绩效目标实现程度和预算执行的监督管控，能够通过本报告发现“三大工程”项目绩效目标未达成或目标制定明显不合理的情况，通过原因总结、分析，为项目预算安排、完善政策和改进管理提供重要依据。同时为以后年度提高预算编制精度、优化项目管控提供参考，切实提高财政资金使用效率。本次绩效评价报告作为湖北省知识产权局建立健全绩效评价结果反馈制度和绩效问题整改责任制的重要环节，有利于逐步形成反馈、整改、提升绩效的良性循环的工作机制。</w:t>
      </w:r>
    </w:p>
    <w:p>
      <w:pPr>
        <w:spacing w:line="360" w:lineRule="auto"/>
        <w:ind w:firstLine="440" w:firstLineChars="200"/>
        <w:rPr>
          <w:rFonts w:ascii="宋体" w:hAnsi="宋体" w:cs="宋体"/>
          <w:bCs/>
          <w:sz w:val="22"/>
        </w:rPr>
      </w:pPr>
      <w:bookmarkStart w:id="1" w:name="_Hlk103268121"/>
      <w:r>
        <w:rPr>
          <w:rFonts w:hint="eastAsia" w:ascii="宋体" w:hAnsi="宋体" w:cs="宋体"/>
          <w:bCs/>
          <w:sz w:val="22"/>
        </w:rPr>
        <w:t>通过本次绩效评价，有助于提高“三大工程”实施决策水平，并为下一年计划资金的科学分配及管控积累了经验，同时也强化了绩效评价结果在资金分配环节的应用，进而达到提高管理效率、资金使用效益和公共服务水平目标。从根本上有效促进项目整体预算绩效管理工作水平，强化专项资金支出责任，规范资金管理行为，保障项目高质量实施。</w:t>
      </w:r>
      <w:bookmarkEnd w:id="1"/>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主要经验及做法</w:t>
      </w:r>
    </w:p>
    <w:p>
      <w:pPr>
        <w:spacing w:line="360" w:lineRule="auto"/>
        <w:ind w:firstLine="440" w:firstLineChars="200"/>
        <w:rPr>
          <w:rFonts w:ascii="宋体" w:hAnsi="宋体" w:cs="宋体"/>
          <w:bCs/>
          <w:sz w:val="22"/>
        </w:rPr>
      </w:pPr>
      <w:r>
        <w:rPr>
          <w:rFonts w:ascii="宋体" w:hAnsi="宋体" w:cs="宋体"/>
          <w:bCs/>
          <w:sz w:val="22"/>
        </w:rPr>
        <w:t>2019</w:t>
      </w:r>
      <w:r>
        <w:rPr>
          <w:rFonts w:hint="eastAsia" w:ascii="宋体" w:hAnsi="宋体" w:cs="宋体"/>
          <w:bCs/>
          <w:sz w:val="22"/>
        </w:rPr>
        <w:t>年3月22日，湖北省知识产权局启动“三大工程”项目，按照知识产权的创造、保护、运用三个关键环节，制定实施高价值知识产权培育工程、重点企业知识产权海外护航工程、知识产权运用示范工程“三大工程”。“三大工程”项目通过财政专项资金助力湖北省在知识产权发展领域的高质量创造、高水平保护、高效率运用。“三大工程”项目的实施新增发明专利2000余项、新增销售收入100亿元、新增就业岗位3700余个；列入知识产权运用工程的18家高校院所，专利转化2000多笔，转化金额超过6亿元。重点企业知识产权海外护航工程为安琪酵母、长江存储、富邦科技等79家重点出口企业提供PCT专利申请海外专利战略布局等综合服务，指导3家企业成功应对美国“337”调查。</w:t>
      </w:r>
    </w:p>
    <w:p>
      <w:pPr>
        <w:spacing w:line="360" w:lineRule="auto"/>
        <w:ind w:firstLine="440" w:firstLineChars="200"/>
        <w:rPr>
          <w:rFonts w:ascii="宋体" w:hAnsi="宋体" w:cs="宋体"/>
          <w:bCs/>
          <w:sz w:val="22"/>
        </w:rPr>
      </w:pPr>
      <w:r>
        <w:rPr>
          <w:rFonts w:hint="eastAsia" w:ascii="宋体" w:hAnsi="宋体" w:cs="宋体"/>
          <w:bCs/>
          <w:sz w:val="22"/>
        </w:rPr>
        <w:t>经过近些年的发展，湖北省知识产权局形成了一套相对完整的“三大工程”项目管理体系及实施方案，并与部门项目支出互为配合、互为补充，共同营造了鼓励创新和保护知识产权的良好社会氛围。</w:t>
      </w:r>
    </w:p>
    <w:p>
      <w:pPr>
        <w:spacing w:line="360" w:lineRule="auto"/>
        <w:ind w:firstLine="440" w:firstLineChars="200"/>
        <w:rPr>
          <w:rFonts w:ascii="宋体" w:hAnsi="宋体" w:cs="宋体"/>
          <w:bCs/>
          <w:sz w:val="22"/>
        </w:rPr>
      </w:pPr>
    </w:p>
    <w:p>
      <w:pPr>
        <w:spacing w:line="360" w:lineRule="auto"/>
        <w:ind w:firstLine="440" w:firstLineChars="200"/>
        <w:rPr>
          <w:rFonts w:ascii="宋体" w:hAnsi="宋体" w:cs="宋体"/>
          <w:bCs/>
          <w:sz w:val="22"/>
        </w:rPr>
      </w:pPr>
    </w:p>
    <w:p>
      <w:pPr>
        <w:pStyle w:val="2"/>
        <w:numPr>
          <w:ilvl w:val="0"/>
          <w:numId w:val="1"/>
        </w:numPr>
        <w:tabs>
          <w:tab w:val="left" w:pos="420"/>
          <w:tab w:val="left" w:pos="993"/>
        </w:tabs>
        <w:spacing w:before="50" w:after="0" w:line="360" w:lineRule="auto"/>
        <w:ind w:left="425"/>
        <w:rPr>
          <w:rFonts w:asciiTheme="minorEastAsia" w:hAnsiTheme="minorEastAsia" w:eastAsiaTheme="minorEastAsia"/>
          <w:sz w:val="22"/>
          <w:szCs w:val="22"/>
        </w:rPr>
      </w:pPr>
      <w:r>
        <w:rPr>
          <w:rFonts w:hint="eastAsia" w:asciiTheme="minorEastAsia" w:hAnsiTheme="minorEastAsia" w:eastAsiaTheme="minorEastAsia"/>
          <w:sz w:val="22"/>
          <w:szCs w:val="22"/>
        </w:rPr>
        <w:t>其他需要说明的情况</w:t>
      </w:r>
    </w:p>
    <w:bookmarkEnd w:id="0"/>
    <w:p>
      <w:pPr>
        <w:spacing w:line="360" w:lineRule="auto"/>
        <w:ind w:firstLine="440" w:firstLineChars="200"/>
        <w:rPr>
          <w:rFonts w:ascii="宋体" w:hAnsi="宋体" w:cs="宋体"/>
          <w:bCs/>
          <w:sz w:val="22"/>
        </w:rPr>
      </w:pPr>
      <w:r>
        <w:rPr>
          <w:rFonts w:hint="eastAsia" w:ascii="宋体" w:hAnsi="宋体" w:cs="宋体"/>
          <w:bCs/>
          <w:sz w:val="22"/>
        </w:rPr>
        <w:t>无</w:t>
      </w:r>
    </w:p>
    <w:p>
      <w:pPr>
        <w:spacing w:line="360" w:lineRule="auto"/>
        <w:ind w:firstLine="440" w:firstLineChars="200"/>
        <w:rPr>
          <w:rFonts w:ascii="宋体" w:hAnsi="宋体" w:cs="宋体"/>
          <w:bCs/>
          <w:sz w:val="22"/>
        </w:rPr>
      </w:pPr>
    </w:p>
    <w:p>
      <w:pPr>
        <w:spacing w:line="360" w:lineRule="auto"/>
        <w:ind w:firstLine="440" w:firstLineChars="200"/>
        <w:rPr>
          <w:rFonts w:ascii="宋体" w:hAnsi="宋体" w:cs="宋体"/>
          <w:bCs/>
          <w:sz w:val="22"/>
        </w:rPr>
      </w:pPr>
      <w:r>
        <w:rPr>
          <w:rFonts w:hint="eastAsia" w:ascii="宋体" w:hAnsi="宋体" w:cs="宋体"/>
          <w:bCs/>
          <w:sz w:val="22"/>
        </w:rPr>
        <w:t>附件一：“三大工程”项目绩效评价指标体系及评分表</w:t>
      </w:r>
      <w:r>
        <w:rPr>
          <w:rFonts w:ascii="宋体" w:hAnsi="宋体" w:cs="宋体"/>
          <w:bCs/>
          <w:sz w:val="22"/>
        </w:rPr>
        <w:t xml:space="preserve"> </w:t>
      </w:r>
    </w:p>
    <w:p>
      <w:pPr>
        <w:spacing w:line="360" w:lineRule="auto"/>
        <w:ind w:firstLine="440" w:firstLineChars="200"/>
        <w:rPr>
          <w:rFonts w:ascii="宋体" w:hAnsi="宋体" w:cs="宋体"/>
          <w:bCs/>
          <w:sz w:val="22"/>
        </w:rPr>
      </w:pPr>
    </w:p>
    <w:p>
      <w:pPr>
        <w:spacing w:line="360" w:lineRule="auto"/>
        <w:ind w:firstLine="440" w:firstLineChars="200"/>
        <w:rPr>
          <w:rFonts w:ascii="宋体" w:hAnsi="宋体" w:cs="宋体"/>
          <w:bCs/>
          <w:sz w:val="22"/>
        </w:rPr>
      </w:pPr>
    </w:p>
    <w:p>
      <w:pPr>
        <w:spacing w:line="360" w:lineRule="auto"/>
        <w:ind w:firstLine="440" w:firstLineChars="200"/>
        <w:rPr>
          <w:rFonts w:ascii="宋体" w:hAnsi="宋体" w:cs="宋体"/>
          <w:bCs/>
          <w:sz w:val="22"/>
        </w:rPr>
      </w:pPr>
    </w:p>
    <w:p>
      <w:pPr>
        <w:spacing w:line="360" w:lineRule="auto"/>
        <w:ind w:firstLine="440" w:firstLineChars="200"/>
        <w:rPr>
          <w:rFonts w:ascii="宋体" w:hAnsi="宋体" w:cs="宋体"/>
          <w:bCs/>
          <w:sz w:val="22"/>
        </w:rPr>
      </w:pPr>
    </w:p>
    <w:p>
      <w:pPr>
        <w:spacing w:line="360" w:lineRule="auto"/>
        <w:ind w:firstLine="440" w:firstLineChars="200"/>
        <w:rPr>
          <w:rFonts w:ascii="宋体" w:hAnsi="宋体" w:cs="宋体"/>
          <w:bCs/>
          <w:sz w:val="22"/>
        </w:rPr>
      </w:pPr>
    </w:p>
    <w:tbl>
      <w:tblPr>
        <w:tblStyle w:val="15"/>
        <w:tblW w:w="0" w:type="auto"/>
        <w:jc w:val="right"/>
        <w:tblLayout w:type="fixed"/>
        <w:tblCellMar>
          <w:top w:w="0" w:type="dxa"/>
          <w:left w:w="108" w:type="dxa"/>
          <w:bottom w:w="0" w:type="dxa"/>
          <w:right w:w="108" w:type="dxa"/>
        </w:tblCellMar>
      </w:tblPr>
      <w:tblGrid>
        <w:gridCol w:w="4150"/>
      </w:tblGrid>
      <w:tr>
        <w:tblPrEx>
          <w:tblCellMar>
            <w:top w:w="0" w:type="dxa"/>
            <w:left w:w="108" w:type="dxa"/>
            <w:bottom w:w="0" w:type="dxa"/>
            <w:right w:w="108" w:type="dxa"/>
          </w:tblCellMar>
        </w:tblPrEx>
        <w:trPr>
          <w:trHeight w:val="733" w:hRule="atLeast"/>
          <w:jc w:val="right"/>
        </w:trPr>
        <w:tc>
          <w:tcPr>
            <w:tcW w:w="4150" w:type="dxa"/>
          </w:tcPr>
          <w:p>
            <w:pPr>
              <w:spacing w:line="360" w:lineRule="exact"/>
              <w:rPr>
                <w:rFonts w:asciiTheme="minorEastAsia" w:hAnsiTheme="minorEastAsia" w:eastAsiaTheme="minorEastAsia"/>
                <w:sz w:val="22"/>
              </w:rPr>
            </w:pPr>
            <w:r>
              <w:rPr>
                <w:rFonts w:hint="eastAsia" w:asciiTheme="minorEastAsia" w:hAnsiTheme="minorEastAsia" w:eastAsiaTheme="minorEastAsia"/>
                <w:sz w:val="22"/>
              </w:rPr>
              <w:t>信永中和会计师事务所（特殊普通合伙）</w:t>
            </w:r>
          </w:p>
          <w:p>
            <w:pPr>
              <w:spacing w:line="360" w:lineRule="exact"/>
              <w:jc w:val="center"/>
              <w:rPr>
                <w:rFonts w:asciiTheme="minorEastAsia" w:hAnsiTheme="minorEastAsia" w:eastAsiaTheme="minorEastAsia"/>
                <w:sz w:val="22"/>
              </w:rPr>
            </w:pPr>
            <w:r>
              <w:rPr>
                <w:rFonts w:asciiTheme="minorEastAsia" w:hAnsiTheme="minorEastAsia" w:eastAsiaTheme="minorEastAsia"/>
                <w:sz w:val="22"/>
              </w:rPr>
              <w:t>武汉分所</w:t>
            </w:r>
          </w:p>
        </w:tc>
      </w:tr>
      <w:tr>
        <w:tblPrEx>
          <w:tblCellMar>
            <w:top w:w="0" w:type="dxa"/>
            <w:left w:w="108" w:type="dxa"/>
            <w:bottom w:w="0" w:type="dxa"/>
            <w:right w:w="108" w:type="dxa"/>
          </w:tblCellMar>
        </w:tblPrEx>
        <w:trPr>
          <w:trHeight w:val="733" w:hRule="atLeast"/>
          <w:jc w:val="right"/>
        </w:trPr>
        <w:tc>
          <w:tcPr>
            <w:tcW w:w="4150" w:type="dxa"/>
          </w:tcPr>
          <w:p>
            <w:pPr>
              <w:spacing w:line="360" w:lineRule="exact"/>
              <w:jc w:val="center"/>
              <w:rPr>
                <w:rFonts w:asciiTheme="minorEastAsia" w:hAnsiTheme="minorEastAsia" w:eastAsiaTheme="minorEastAsia"/>
                <w:sz w:val="22"/>
              </w:rPr>
            </w:pPr>
          </w:p>
          <w:p>
            <w:pPr>
              <w:spacing w:line="360" w:lineRule="exact"/>
              <w:jc w:val="center"/>
              <w:rPr>
                <w:rFonts w:asciiTheme="minorEastAsia" w:hAnsiTheme="minorEastAsia" w:eastAsiaTheme="minorEastAsia"/>
                <w:sz w:val="22"/>
              </w:rPr>
            </w:pPr>
            <w:r>
              <w:rPr>
                <w:rFonts w:hint="eastAsia" w:asciiTheme="minorEastAsia" w:hAnsiTheme="minorEastAsia" w:eastAsiaTheme="minorEastAsia"/>
                <w:sz w:val="22"/>
              </w:rPr>
              <w:t>中国</w:t>
            </w:r>
            <w:r>
              <w:rPr>
                <w:rFonts w:asciiTheme="minorEastAsia" w:hAnsiTheme="minorEastAsia" w:eastAsiaTheme="minorEastAsia"/>
                <w:sz w:val="22"/>
              </w:rPr>
              <w:tab/>
            </w:r>
            <w:r>
              <w:rPr>
                <w:rFonts w:hint="eastAsia" w:asciiTheme="minorEastAsia" w:hAnsiTheme="minorEastAsia" w:eastAsiaTheme="minorEastAsia"/>
                <w:sz w:val="22"/>
              </w:rPr>
              <w:t>武汉</w:t>
            </w:r>
          </w:p>
          <w:p>
            <w:pPr>
              <w:spacing w:line="360" w:lineRule="exact"/>
              <w:jc w:val="center"/>
              <w:rPr>
                <w:rFonts w:asciiTheme="minorEastAsia" w:hAnsiTheme="minorEastAsia" w:eastAsiaTheme="minorEastAsia"/>
                <w:sz w:val="22"/>
              </w:rPr>
            </w:pPr>
          </w:p>
        </w:tc>
      </w:tr>
      <w:tr>
        <w:tblPrEx>
          <w:tblCellMar>
            <w:top w:w="0" w:type="dxa"/>
            <w:left w:w="108" w:type="dxa"/>
            <w:bottom w:w="0" w:type="dxa"/>
            <w:right w:w="108" w:type="dxa"/>
          </w:tblCellMar>
        </w:tblPrEx>
        <w:trPr>
          <w:trHeight w:val="733" w:hRule="atLeast"/>
          <w:jc w:val="right"/>
        </w:trPr>
        <w:tc>
          <w:tcPr>
            <w:tcW w:w="4150" w:type="dxa"/>
          </w:tcPr>
          <w:p>
            <w:pPr>
              <w:spacing w:line="360" w:lineRule="exact"/>
              <w:jc w:val="center"/>
              <w:rPr>
                <w:rFonts w:asciiTheme="minorEastAsia" w:hAnsiTheme="minorEastAsia" w:eastAsiaTheme="minorEastAsia"/>
                <w:sz w:val="22"/>
              </w:rPr>
            </w:pPr>
            <w:r>
              <w:rPr>
                <w:rFonts w:hint="eastAsia" w:asciiTheme="minorEastAsia" w:hAnsiTheme="minorEastAsia" w:eastAsiaTheme="minorEastAsia"/>
                <w:sz w:val="22"/>
              </w:rPr>
              <w:t>二○二二年四月二十六日</w:t>
            </w:r>
          </w:p>
        </w:tc>
      </w:tr>
    </w:tbl>
    <w:p>
      <w:pPr>
        <w:spacing w:line="360" w:lineRule="auto"/>
        <w:ind w:firstLine="440" w:firstLineChars="200"/>
        <w:rPr>
          <w:rFonts w:ascii="宋体" w:hAnsi="宋体" w:cs="宋体"/>
          <w:bCs/>
          <w:sz w:val="22"/>
        </w:rPr>
      </w:pPr>
    </w:p>
    <w:sectPr>
      <w:footerReference r:id="rId9" w:type="first"/>
      <w:headerReference r:id="rId8"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华文新魏">
    <w:altName w:val="方正魏碑_GBK"/>
    <w:panose1 w:val="02010800040101010101"/>
    <w:charset w:val="86"/>
    <w:family w:val="auto"/>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魏碑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0146216"/>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29</w:t>
    </w:r>
    <w:r>
      <w:fldChar w:fldCharType="end"/>
    </w:r>
  </w:p>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w="6350">
                        <a:noFill/>
                      </a:ln>
                    </wps:spPr>
                    <wps:txbx>
                      <w:txbxContent>
                        <w:p>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vbGRr0QAAAAIBAAAPAAAAAAAAAAEAIAAAADgAAABkcnMvZG93bnJldi54bWxQSwECFAAUAAAA&#10;CACHTuJA2OnDwRgCAAAWBAAADgAAAAAAAAABACAAAAA2AQAAZHJzL2Uyb0RvYy54bWxQSwUGAAAA&#10;AAYABgBZAQAAwA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719" w:type="dxa"/>
      <w:tblInd w:w="-600" w:type="dxa"/>
      <w:tblBorders>
        <w:top w:val="none" w:color="auto" w:sz="0"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570"/>
      <w:gridCol w:w="2698"/>
      <w:gridCol w:w="2126"/>
      <w:gridCol w:w="776"/>
      <w:gridCol w:w="1549"/>
    </w:tblGrid>
    <w:tr>
      <w:tblPrEx>
        <w:tblBorders>
          <w:top w:val="none" w:color="auto" w:sz="0" w:space="0"/>
          <w:left w:val="single" w:color="auto" w:sz="4" w:space="0"/>
          <w:bottom w:val="none" w:color="auto" w:sz="0"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2570" w:type="dxa"/>
          <w:vMerge w:val="restart"/>
          <w:tcBorders>
            <w:left w:val="single" w:color="auto" w:sz="18" w:space="0"/>
            <w:right w:val="single" w:color="auto" w:sz="18" w:space="0"/>
          </w:tcBorders>
          <w:noWrap/>
          <w:tcFitText/>
          <w:vAlign w:val="center"/>
        </w:tcPr>
        <w:p>
          <w:pPr>
            <w:pStyle w:val="6"/>
            <w:spacing w:after="0"/>
            <w:jc w:val="center"/>
            <w:rPr>
              <w:b/>
              <w:sz w:val="48"/>
              <w:lang w:val="en-US"/>
            </w:rPr>
          </w:pPr>
          <w:bookmarkStart w:id="2" w:name="_Hlk103333431"/>
          <w:bookmarkStart w:id="3" w:name="_Hlk103333430"/>
          <w:r>
            <w:rPr>
              <w:rFonts w:hint="eastAsia"/>
              <w:b/>
              <w:sz w:val="48"/>
              <w:lang w:val="en-US"/>
            </w:rPr>
            <w:drawing>
              <wp:inline distT="0" distB="0" distL="114300" distR="114300">
                <wp:extent cx="1514475" cy="912495"/>
                <wp:effectExtent l="0" t="0" r="9525" b="1905"/>
                <wp:docPr id="3" name="图片 2" descr="untitled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untitled1"/>
                        <pic:cNvPicPr>
                          <a:picLocks noChangeAspect="true"/>
                        </pic:cNvPicPr>
                      </pic:nvPicPr>
                      <pic:blipFill>
                        <a:blip r:embed="rId1">
                          <a:clrChange>
                            <a:clrFrom>
                              <a:srgbClr val="FFFFFF"/>
                            </a:clrFrom>
                            <a:clrTo>
                              <a:srgbClr val="FFFFFF">
                                <a:alpha val="0"/>
                              </a:srgbClr>
                            </a:clrTo>
                          </a:clrChange>
                        </a:blip>
                        <a:stretch>
                          <a:fillRect/>
                        </a:stretch>
                      </pic:blipFill>
                      <pic:spPr>
                        <a:xfrm>
                          <a:off x="0" y="0"/>
                          <a:ext cx="1514475" cy="912495"/>
                        </a:xfrm>
                        <a:prstGeom prst="rect">
                          <a:avLst/>
                        </a:prstGeom>
                        <a:noFill/>
                        <a:ln>
                          <a:noFill/>
                        </a:ln>
                      </pic:spPr>
                    </pic:pic>
                  </a:graphicData>
                </a:graphic>
              </wp:inline>
            </w:drawing>
          </w:r>
        </w:p>
      </w:tc>
      <w:tc>
        <w:tcPr>
          <w:tcW w:w="2698" w:type="dxa"/>
          <w:tcBorders>
            <w:left w:val="single" w:color="auto" w:sz="18" w:space="0"/>
            <w:bottom w:val="nil"/>
            <w:right w:val="single" w:color="003366" w:sz="4" w:space="0"/>
          </w:tcBorders>
          <w:tcMar>
            <w:left w:w="28" w:type="dxa"/>
          </w:tcMar>
        </w:tcPr>
        <w:p>
          <w:pPr>
            <w:pStyle w:val="6"/>
            <w:spacing w:after="0"/>
            <w:jc w:val="both"/>
            <w:rPr>
              <w:rFonts w:eastAsia="黑体"/>
              <w:sz w:val="48"/>
              <w:szCs w:val="48"/>
              <w:lang w:val="en-US"/>
            </w:rPr>
          </w:pPr>
          <w:r>
            <w:rPr>
              <w:rFonts w:eastAsia="黑体"/>
              <w:sz w:val="48"/>
              <w:szCs w:val="48"/>
              <w:lang w:val="en-US"/>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line">
                      <wp:posOffset>11430</wp:posOffset>
                    </wp:positionV>
                    <wp:extent cx="1558925" cy="3517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558925" cy="351790"/>
                            </a:xfrm>
                            <a:prstGeom prst="rect">
                              <a:avLst/>
                            </a:prstGeom>
                            <a:noFill/>
                            <a:ln>
                              <a:noFill/>
                            </a:ln>
                          </wps:spPr>
                          <wps:txbx>
                            <w:txbxContent>
                              <w:p>
                                <w:pPr>
                                  <w:pStyle w:val="6"/>
                                  <w:spacing w:before="28" w:beforeLines="12" w:after="0" w:line="240" w:lineRule="exact"/>
                                  <w:ind w:left="25" w:leftChars="12"/>
                                  <w:rPr>
                                    <w:rFonts w:ascii="隶书" w:eastAsia="隶书"/>
                                    <w:sz w:val="28"/>
                                    <w:szCs w:val="28"/>
                                    <w:lang w:val="en-US"/>
                                  </w:rPr>
                                </w:pPr>
                                <w:r>
                                  <w:rPr>
                                    <w:rFonts w:hint="eastAsia" w:ascii="隶书" w:eastAsia="隶书"/>
                                    <w:spacing w:val="1"/>
                                    <w:w w:val="85"/>
                                    <w:kern w:val="0"/>
                                    <w:sz w:val="28"/>
                                    <w:szCs w:val="28"/>
                                    <w:fitText w:val="2404" w:id="1"/>
                                    <w:lang w:val="en-US"/>
                                  </w:rPr>
                                  <w:t>信永中和会计师事务</w:t>
                                </w:r>
                                <w:r>
                                  <w:rPr>
                                    <w:rFonts w:hint="eastAsia" w:ascii="隶书" w:eastAsia="隶书"/>
                                    <w:spacing w:val="12"/>
                                    <w:w w:val="85"/>
                                    <w:kern w:val="0"/>
                                    <w:sz w:val="28"/>
                                    <w:szCs w:val="28"/>
                                    <w:fitText w:val="2404" w:id="1"/>
                                    <w:lang w:val="en-US"/>
                                  </w:rPr>
                                  <w:t>所</w:t>
                                </w:r>
                              </w:p>
                              <w:p>
                                <w:pPr>
                                  <w:pStyle w:val="6"/>
                                  <w:spacing w:before="28" w:beforeLines="12" w:after="0" w:line="240" w:lineRule="exact"/>
                                  <w:ind w:left="25" w:leftChars="12"/>
                                  <w:rPr>
                                    <w:rFonts w:ascii="隶书" w:eastAsia="隶书"/>
                                    <w:kern w:val="24"/>
                                    <w:sz w:val="20"/>
                                    <w:szCs w:val="28"/>
                                  </w:rPr>
                                </w:pPr>
                                <w:r>
                                  <w:rPr>
                                    <w:rFonts w:hint="eastAsia" w:ascii="隶书" w:eastAsia="隶书"/>
                                    <w:sz w:val="20"/>
                                    <w:szCs w:val="28"/>
                                    <w:lang w:val="en-US"/>
                                  </w:rPr>
                                  <w:t>（特殊普通合伙）武汉分所</w:t>
                                </w:r>
                              </w:p>
                            </w:txbxContent>
                          </wps:txbx>
                          <wps:bodyPr lIns="0" tIns="0" rIns="0" bIns="0" upright="true"/>
                        </wps:wsp>
                      </a:graphicData>
                    </a:graphic>
                  </wp:anchor>
                </w:drawing>
              </mc:Choice>
              <mc:Fallback>
                <w:pict>
                  <v:shape id="_x0000_s1026" o:spid="_x0000_s1026" o:spt="202" type="#_x0000_t202" style="position:absolute;left:0pt;margin-left:2.65pt;margin-top:0.9pt;height:27.7pt;width:122.75pt;mso-position-vertical-relative:line;z-index:251665408;mso-width-relative:page;mso-height-relative:page;" filled="f" stroked="f" coordsize="21600,21600" o:gfxdata="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fz6XKdMAAAAGAQAADwAAAAAAAAABACAAAAA4AAAAZHJzL2Rvd25yZXYueG1sUEsBAhQAFAAAAAgA&#10;h07iQAfkmr6iAQAAKgMAAA4AAAAAAAAAAQAgAAAAOAEAAGRycy9lMm9Eb2MueG1sUEsFBgAAAAAG&#10;AAYAWQEAAEwFAAAAAA==&#10;">
                    <v:fill on="f" focussize="0,0"/>
                    <v:stroke on="f"/>
                    <v:imagedata o:title=""/>
                    <o:lock v:ext="edit" aspectratio="f"/>
                    <v:textbox inset="0mm,0mm,0mm,0mm">
                      <w:txbxContent>
                        <w:p>
                          <w:pPr>
                            <w:pStyle w:val="6"/>
                            <w:spacing w:before="28" w:beforeLines="12" w:after="0" w:line="240" w:lineRule="exact"/>
                            <w:ind w:left="25" w:leftChars="12"/>
                            <w:rPr>
                              <w:rFonts w:ascii="隶书" w:eastAsia="隶书"/>
                              <w:sz w:val="28"/>
                              <w:szCs w:val="28"/>
                              <w:lang w:val="en-US"/>
                            </w:rPr>
                          </w:pPr>
                          <w:r>
                            <w:rPr>
                              <w:rFonts w:hint="eastAsia" w:ascii="隶书" w:eastAsia="隶书"/>
                              <w:spacing w:val="1"/>
                              <w:w w:val="85"/>
                              <w:kern w:val="0"/>
                              <w:sz w:val="28"/>
                              <w:szCs w:val="28"/>
                              <w:fitText w:val="2404" w:id="1"/>
                              <w:lang w:val="en-US"/>
                            </w:rPr>
                            <w:t>信永中和会计师事务</w:t>
                          </w:r>
                          <w:r>
                            <w:rPr>
                              <w:rFonts w:hint="eastAsia" w:ascii="隶书" w:eastAsia="隶书"/>
                              <w:spacing w:val="12"/>
                              <w:w w:val="85"/>
                              <w:kern w:val="0"/>
                              <w:sz w:val="28"/>
                              <w:szCs w:val="28"/>
                              <w:fitText w:val="2404" w:id="1"/>
                              <w:lang w:val="en-US"/>
                            </w:rPr>
                            <w:t>所</w:t>
                          </w:r>
                        </w:p>
                        <w:p>
                          <w:pPr>
                            <w:pStyle w:val="6"/>
                            <w:spacing w:before="28" w:beforeLines="12" w:after="0" w:line="240" w:lineRule="exact"/>
                            <w:ind w:left="25" w:leftChars="12"/>
                            <w:rPr>
                              <w:rFonts w:ascii="隶书" w:eastAsia="隶书"/>
                              <w:kern w:val="24"/>
                              <w:sz w:val="20"/>
                              <w:szCs w:val="28"/>
                            </w:rPr>
                          </w:pPr>
                          <w:r>
                            <w:rPr>
                              <w:rFonts w:hint="eastAsia" w:ascii="隶书" w:eastAsia="隶书"/>
                              <w:sz w:val="20"/>
                              <w:szCs w:val="28"/>
                              <w:lang w:val="en-US"/>
                            </w:rPr>
                            <w:t>（特殊普通合伙）武汉分所</w:t>
                          </w:r>
                        </w:p>
                      </w:txbxContent>
                    </v:textbox>
                  </v:shape>
                </w:pict>
              </mc:Fallback>
            </mc:AlternateContent>
          </w:r>
        </w:p>
      </w:tc>
      <w:tc>
        <w:tcPr>
          <w:tcW w:w="2126" w:type="dxa"/>
          <w:tcBorders>
            <w:left w:val="single" w:color="003366" w:sz="4" w:space="0"/>
            <w:right w:val="single" w:color="auto" w:sz="4" w:space="0"/>
          </w:tcBorders>
          <w:tcMar>
            <w:left w:w="85" w:type="dxa"/>
          </w:tcMar>
        </w:tcPr>
        <w:p>
          <w:pPr>
            <w:pStyle w:val="6"/>
            <w:spacing w:after="0"/>
            <w:ind w:right="42" w:rightChars="20"/>
            <w:jc w:val="both"/>
            <w:rPr>
              <w:rFonts w:ascii="宋体" w:hAnsi="宋体"/>
              <w:b/>
              <w:spacing w:val="20"/>
              <w:sz w:val="18"/>
              <w:szCs w:val="18"/>
              <w:lang w:val="en-US"/>
            </w:rPr>
          </w:pPr>
          <w:r>
            <w:rPr>
              <w:rFonts w:hint="eastAsia" w:ascii="宋体" w:hAnsi="宋体"/>
              <w:spacing w:val="20"/>
              <w:sz w:val="18"/>
              <w:szCs w:val="18"/>
              <w:lang w:val="en-US"/>
            </w:rPr>
            <w:t>湖北省武汉市洪山区徐东大街137号能源大厦20楼</w:t>
          </w:r>
        </w:p>
      </w:tc>
      <w:tc>
        <w:tcPr>
          <w:tcW w:w="776" w:type="dxa"/>
          <w:tcBorders>
            <w:left w:val="single" w:color="auto" w:sz="4" w:space="0"/>
          </w:tcBorders>
          <w:tcMar>
            <w:left w:w="28" w:type="dxa"/>
          </w:tcMar>
        </w:tcPr>
        <w:p>
          <w:pPr>
            <w:pStyle w:val="6"/>
            <w:spacing w:after="0" w:line="190" w:lineRule="exact"/>
            <w:rPr>
              <w:rFonts w:ascii="Arial" w:hAnsi="Arial"/>
              <w:sz w:val="15"/>
              <w:lang w:val="en-US"/>
            </w:rPr>
          </w:pPr>
          <w:r>
            <w:rPr>
              <w:rFonts w:hint="eastAsia" w:ascii="Arial" w:hAnsi="Arial"/>
              <w:sz w:val="15"/>
              <w:lang w:val="en-US"/>
            </w:rPr>
            <w:t>联系电话</w:t>
          </w:r>
          <w:r>
            <w:rPr>
              <w:rFonts w:ascii="Arial" w:hAnsi="Arial"/>
              <w:sz w:val="15"/>
              <w:lang w:val="en-US"/>
            </w:rPr>
            <w:t>:</w:t>
          </w:r>
        </w:p>
        <w:p>
          <w:pPr>
            <w:pStyle w:val="6"/>
            <w:spacing w:after="0" w:line="190" w:lineRule="exact"/>
            <w:rPr>
              <w:rFonts w:ascii="Arial" w:hAnsi="Arial"/>
              <w:sz w:val="15"/>
              <w:lang w:val="en-US"/>
            </w:rPr>
          </w:pPr>
          <w:r>
            <w:rPr>
              <w:rFonts w:hint="eastAsia" w:ascii="Arial" w:hAnsi="Arial"/>
              <w:sz w:val="15"/>
              <w:lang w:val="en-US"/>
            </w:rPr>
            <w:t>telephone:</w:t>
          </w:r>
        </w:p>
      </w:tc>
      <w:tc>
        <w:tcPr>
          <w:tcW w:w="1549" w:type="dxa"/>
          <w:tcBorders>
            <w:right w:val="nil"/>
          </w:tcBorders>
          <w:tcMar>
            <w:left w:w="28" w:type="dxa"/>
          </w:tcMar>
        </w:tcPr>
        <w:p>
          <w:pPr>
            <w:pStyle w:val="6"/>
            <w:spacing w:after="0" w:line="190" w:lineRule="exact"/>
            <w:jc w:val="both"/>
            <w:rPr>
              <w:rFonts w:ascii="Arial" w:hAnsi="Arial"/>
              <w:sz w:val="15"/>
              <w:lang w:val="en-US"/>
            </w:rPr>
          </w:pPr>
          <w:r>
            <w:rPr>
              <w:rFonts w:hint="eastAsia" w:ascii="Arial" w:hAnsi="Arial"/>
              <w:sz w:val="15"/>
              <w:lang w:val="en-US"/>
            </w:rPr>
            <w:t>+86(027)59759900</w:t>
          </w:r>
        </w:p>
        <w:p>
          <w:pPr>
            <w:pStyle w:val="6"/>
            <w:spacing w:before="4" w:beforeLines="2" w:after="0" w:line="190" w:lineRule="exact"/>
            <w:jc w:val="both"/>
            <w:rPr>
              <w:rFonts w:ascii="Arial" w:hAnsi="Arial"/>
              <w:sz w:val="15"/>
              <w:lang w:val="en-US"/>
            </w:rPr>
          </w:pPr>
          <w:r>
            <w:rPr>
              <w:rFonts w:hint="eastAsia" w:ascii="Arial" w:hAnsi="Arial"/>
              <w:sz w:val="15"/>
              <w:lang w:val="en-US"/>
            </w:rPr>
            <w:t>+86(027)59759900</w:t>
          </w:r>
        </w:p>
      </w:tc>
    </w:tr>
    <w:tr>
      <w:tblPrEx>
        <w:tblBorders>
          <w:top w:val="none" w:color="auto" w:sz="0" w:space="0"/>
          <w:left w:val="single" w:color="auto" w:sz="4" w:space="0"/>
          <w:bottom w:val="none" w:color="auto" w:sz="0"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2570" w:type="dxa"/>
          <w:vMerge w:val="continue"/>
          <w:tcBorders>
            <w:left w:val="single" w:color="auto" w:sz="18" w:space="0"/>
            <w:right w:val="single" w:color="auto" w:sz="18" w:space="0"/>
          </w:tcBorders>
          <w:noWrap/>
          <w:tcFitText/>
          <w:vAlign w:val="center"/>
        </w:tcPr>
        <w:p>
          <w:pPr>
            <w:pStyle w:val="6"/>
            <w:spacing w:after="0"/>
            <w:jc w:val="center"/>
            <w:rPr>
              <w:b/>
              <w:sz w:val="28"/>
              <w:lang w:val="en-US"/>
            </w:rPr>
          </w:pPr>
        </w:p>
      </w:tc>
      <w:tc>
        <w:tcPr>
          <w:tcW w:w="2698" w:type="dxa"/>
          <w:tcBorders>
            <w:left w:val="single" w:color="auto" w:sz="18" w:space="0"/>
            <w:right w:val="single" w:color="auto" w:sz="4" w:space="0"/>
          </w:tcBorders>
          <w:tcMar>
            <w:left w:w="28" w:type="dxa"/>
          </w:tcMar>
          <w:vAlign w:val="bottom"/>
        </w:tcPr>
        <w:p>
          <w:pPr>
            <w:pStyle w:val="6"/>
            <w:spacing w:after="0"/>
            <w:jc w:val="both"/>
            <w:rPr>
              <w:rFonts w:ascii="华文新魏" w:eastAsia="华文新魏"/>
              <w:spacing w:val="-46"/>
              <w:sz w:val="10"/>
              <w:szCs w:val="10"/>
              <w:lang w:val="en-US"/>
            </w:rPr>
          </w:pPr>
        </w:p>
      </w:tc>
      <w:tc>
        <w:tcPr>
          <w:tcW w:w="2126" w:type="dxa"/>
          <w:tcBorders>
            <w:left w:val="single" w:color="auto" w:sz="4" w:space="0"/>
            <w:right w:val="single" w:color="auto" w:sz="4" w:space="0"/>
          </w:tcBorders>
          <w:tcMar>
            <w:left w:w="85" w:type="dxa"/>
          </w:tcMar>
          <w:vAlign w:val="bottom"/>
        </w:tcPr>
        <w:p>
          <w:pPr>
            <w:pStyle w:val="6"/>
            <w:spacing w:after="0"/>
            <w:jc w:val="both"/>
            <w:rPr>
              <w:b/>
              <w:sz w:val="10"/>
              <w:szCs w:val="10"/>
              <w:lang w:val="en-US"/>
            </w:rPr>
          </w:pPr>
        </w:p>
      </w:tc>
      <w:tc>
        <w:tcPr>
          <w:tcW w:w="776" w:type="dxa"/>
          <w:tcBorders>
            <w:left w:val="single" w:color="auto" w:sz="4" w:space="0"/>
          </w:tcBorders>
          <w:tcMar>
            <w:left w:w="28" w:type="dxa"/>
          </w:tcMar>
          <w:vAlign w:val="bottom"/>
        </w:tcPr>
        <w:p>
          <w:pPr>
            <w:pStyle w:val="6"/>
            <w:spacing w:after="0"/>
            <w:jc w:val="both"/>
            <w:rPr>
              <w:rFonts w:ascii="Arial" w:hAnsi="Arial"/>
              <w:sz w:val="10"/>
              <w:szCs w:val="10"/>
              <w:lang w:val="en-US"/>
            </w:rPr>
          </w:pPr>
        </w:p>
      </w:tc>
      <w:tc>
        <w:tcPr>
          <w:tcW w:w="1549" w:type="dxa"/>
          <w:tcBorders>
            <w:right w:val="nil"/>
          </w:tcBorders>
          <w:vAlign w:val="bottom"/>
        </w:tcPr>
        <w:p>
          <w:pPr>
            <w:pStyle w:val="6"/>
            <w:spacing w:after="0"/>
            <w:jc w:val="both"/>
            <w:rPr>
              <w:rFonts w:ascii="Arial" w:hAnsi="Arial"/>
              <w:sz w:val="10"/>
              <w:szCs w:val="10"/>
              <w:lang w:val="en-US"/>
            </w:rPr>
          </w:pPr>
        </w:p>
      </w:tc>
    </w:tr>
    <w:tr>
      <w:tblPrEx>
        <w:tblBorders>
          <w:top w:val="none" w:color="auto" w:sz="0" w:space="0"/>
          <w:left w:val="single" w:color="auto" w:sz="4" w:space="0"/>
          <w:bottom w:val="none" w:color="auto" w:sz="0"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2570" w:type="dxa"/>
          <w:vMerge w:val="continue"/>
          <w:tcBorders>
            <w:left w:val="single" w:color="auto" w:sz="18" w:space="0"/>
            <w:bottom w:val="nil"/>
            <w:right w:val="single" w:color="auto" w:sz="18" w:space="0"/>
          </w:tcBorders>
          <w:noWrap/>
          <w:tcFitText/>
          <w:vAlign w:val="center"/>
        </w:tcPr>
        <w:p>
          <w:pPr>
            <w:pStyle w:val="6"/>
            <w:spacing w:after="0"/>
            <w:jc w:val="center"/>
            <w:rPr>
              <w:b/>
              <w:sz w:val="28"/>
              <w:lang w:val="en-US"/>
            </w:rPr>
          </w:pPr>
        </w:p>
      </w:tc>
      <w:tc>
        <w:tcPr>
          <w:tcW w:w="2698" w:type="dxa"/>
          <w:tcBorders>
            <w:left w:val="single" w:color="auto" w:sz="18" w:space="0"/>
            <w:bottom w:val="nil"/>
            <w:right w:val="single" w:color="auto" w:sz="4" w:space="0"/>
          </w:tcBorders>
          <w:tcMar>
            <w:left w:w="28" w:type="dxa"/>
          </w:tcMar>
          <w:vAlign w:val="bottom"/>
        </w:tcPr>
        <w:p>
          <w:pPr>
            <w:pStyle w:val="6"/>
            <w:spacing w:after="0" w:line="320" w:lineRule="exact"/>
            <w:ind w:left="84" w:leftChars="40"/>
            <w:jc w:val="both"/>
            <w:rPr>
              <w:b/>
              <w:iCs/>
              <w:sz w:val="26"/>
              <w:szCs w:val="26"/>
              <w:lang w:val="en-US"/>
            </w:rPr>
          </w:pPr>
          <w:r>
            <w:rPr>
              <w:b/>
              <w:iCs/>
              <w:sz w:val="26"/>
              <w:szCs w:val="26"/>
              <w:lang w:val="en-US"/>
            </w:rPr>
            <w:t>Shin</w:t>
          </w:r>
          <w:r>
            <w:rPr>
              <w:b/>
              <w:iCs/>
              <w:spacing w:val="-20"/>
              <w:sz w:val="26"/>
              <w:szCs w:val="26"/>
              <w:lang w:val="en-US"/>
            </w:rPr>
            <w:t>eW</w:t>
          </w:r>
          <w:r>
            <w:rPr>
              <w:b/>
              <w:iCs/>
              <w:sz w:val="26"/>
              <w:szCs w:val="26"/>
              <w:lang w:val="en-US"/>
            </w:rPr>
            <w:t>ing</w:t>
          </w:r>
        </w:p>
        <w:p>
          <w:pPr>
            <w:pStyle w:val="6"/>
            <w:spacing w:after="0" w:line="240" w:lineRule="exact"/>
            <w:ind w:left="84" w:leftChars="40"/>
            <w:jc w:val="both"/>
            <w:rPr>
              <w:rFonts w:ascii="Arial" w:hAnsi="Arial" w:cs="Arial"/>
              <w:b/>
              <w:color w:val="003366"/>
              <w:sz w:val="18"/>
              <w:szCs w:val="18"/>
              <w:lang w:val="en-US"/>
            </w:rPr>
          </w:pPr>
          <w:r>
            <w:rPr>
              <w:rFonts w:ascii="Arial" w:hAnsi="Arial" w:cs="Arial"/>
              <w:b/>
              <w:sz w:val="18"/>
              <w:szCs w:val="18"/>
              <w:lang w:val="en-US"/>
            </w:rPr>
            <w:t xml:space="preserve">Certified public accountants </w:t>
          </w:r>
          <w:r>
            <w:rPr>
              <w:rFonts w:hint="eastAsia" w:ascii="Arial" w:hAnsi="Arial" w:cs="Arial"/>
              <w:b/>
              <w:sz w:val="18"/>
              <w:szCs w:val="18"/>
              <w:lang w:val="en-US"/>
            </w:rPr>
            <w:t>Wuhan</w:t>
          </w:r>
          <w:r>
            <w:rPr>
              <w:rFonts w:ascii="Arial" w:hAnsi="Arial" w:cs="Arial"/>
              <w:b/>
              <w:sz w:val="18"/>
              <w:szCs w:val="18"/>
              <w:lang w:val="en-US"/>
            </w:rPr>
            <w:t xml:space="preserve"> </w:t>
          </w:r>
          <w:r>
            <w:rPr>
              <w:rFonts w:hint="eastAsia" w:ascii="Arial" w:hAnsi="Arial" w:cs="Arial"/>
              <w:b/>
              <w:sz w:val="18"/>
              <w:szCs w:val="18"/>
              <w:lang w:val="en-US"/>
            </w:rPr>
            <w:t>Branch</w:t>
          </w:r>
        </w:p>
      </w:tc>
      <w:tc>
        <w:tcPr>
          <w:tcW w:w="2126" w:type="dxa"/>
          <w:tcBorders>
            <w:left w:val="single" w:color="auto" w:sz="4" w:space="0"/>
            <w:right w:val="single" w:color="auto" w:sz="4" w:space="0"/>
          </w:tcBorders>
          <w:tcMar>
            <w:left w:w="85" w:type="dxa"/>
          </w:tcMar>
          <w:vAlign w:val="bottom"/>
        </w:tcPr>
        <w:p>
          <w:pPr>
            <w:pStyle w:val="6"/>
            <w:spacing w:after="0"/>
            <w:ind w:right="42" w:rightChars="20"/>
            <w:rPr>
              <w:rFonts w:ascii="Arial" w:hAnsi="Arial" w:cs="Arial"/>
              <w:sz w:val="15"/>
              <w:szCs w:val="15"/>
              <w:lang w:val="en-US"/>
            </w:rPr>
          </w:pPr>
          <w:r>
            <w:rPr>
              <w:rFonts w:hint="eastAsia" w:ascii="Arial" w:hAnsi="Arial" w:eastAsia="楷体_GB2312" w:cs="Arial"/>
              <w:sz w:val="15"/>
              <w:szCs w:val="15"/>
            </w:rPr>
            <w:t>20</w:t>
          </w:r>
          <w:r>
            <w:rPr>
              <w:rFonts w:ascii="Arial" w:hAnsi="Arial" w:eastAsia="楷体_GB2312" w:cs="Arial"/>
              <w:sz w:val="15"/>
              <w:szCs w:val="15"/>
            </w:rPr>
            <w:t>/F,</w:t>
          </w:r>
          <w:r>
            <w:rPr>
              <w:rFonts w:hint="eastAsia" w:ascii="Arial" w:hAnsi="Arial" w:eastAsia="楷体_GB2312" w:cs="Arial"/>
              <w:sz w:val="15"/>
              <w:szCs w:val="15"/>
            </w:rPr>
            <w:t>Nengyuan</w:t>
          </w:r>
          <w:r>
            <w:rPr>
              <w:rFonts w:ascii="Arial" w:hAnsi="Arial" w:eastAsia="楷体_GB2312" w:cs="Arial"/>
              <w:sz w:val="15"/>
              <w:szCs w:val="15"/>
            </w:rPr>
            <w:t>Building,NO.</w:t>
          </w:r>
          <w:r>
            <w:rPr>
              <w:rFonts w:hint="eastAsia" w:ascii="Arial" w:hAnsi="Arial" w:eastAsia="楷体_GB2312" w:cs="Arial"/>
              <w:sz w:val="15"/>
              <w:szCs w:val="15"/>
            </w:rPr>
            <w:t>137Xudongstreet</w:t>
          </w:r>
          <w:r>
            <w:rPr>
              <w:rFonts w:ascii="Arial" w:hAnsi="Arial" w:eastAsia="楷体_GB2312" w:cs="Arial"/>
              <w:sz w:val="15"/>
              <w:szCs w:val="15"/>
            </w:rPr>
            <w:t>,</w:t>
          </w:r>
          <w:r>
            <w:rPr>
              <w:rFonts w:hint="eastAsia" w:ascii="Arial" w:hAnsi="Arial" w:eastAsia="楷体_GB2312" w:cs="Arial"/>
              <w:sz w:val="15"/>
              <w:szCs w:val="15"/>
            </w:rPr>
            <w:t>Hongshan</w:t>
          </w:r>
          <w:r>
            <w:rPr>
              <w:rFonts w:ascii="Arial" w:hAnsi="Arial" w:eastAsia="楷体_GB2312" w:cs="Arial"/>
              <w:sz w:val="15"/>
              <w:szCs w:val="15"/>
            </w:rPr>
            <w:t>District,Wuhan,</w:t>
          </w:r>
          <w:r>
            <w:rPr>
              <w:rFonts w:hint="eastAsia" w:ascii="Arial" w:hAnsi="Arial" w:eastAsia="楷体_GB2312" w:cs="Arial"/>
              <w:sz w:val="15"/>
              <w:szCs w:val="15"/>
            </w:rPr>
            <w:t>HubeiProvince430077</w:t>
          </w:r>
          <w:r>
            <w:rPr>
              <w:rFonts w:ascii="Arial" w:hAnsi="Arial" w:eastAsia="楷体_GB2312" w:cs="Arial"/>
              <w:sz w:val="15"/>
              <w:szCs w:val="15"/>
            </w:rPr>
            <w:t>P</w:t>
          </w:r>
          <w:r>
            <w:rPr>
              <w:rFonts w:hint="eastAsia" w:ascii="Arial" w:hAnsi="Arial" w:eastAsia="楷体_GB2312" w:cs="Arial"/>
              <w:sz w:val="15"/>
              <w:szCs w:val="15"/>
            </w:rPr>
            <w:t>.</w:t>
          </w:r>
          <w:r>
            <w:rPr>
              <w:rFonts w:ascii="Arial" w:hAnsi="Arial" w:eastAsia="楷体_GB2312" w:cs="Arial"/>
              <w:sz w:val="15"/>
              <w:szCs w:val="15"/>
            </w:rPr>
            <w:t>R</w:t>
          </w:r>
          <w:r>
            <w:rPr>
              <w:rFonts w:hint="eastAsia" w:ascii="Arial" w:hAnsi="Arial" w:eastAsia="楷体_GB2312" w:cs="Arial"/>
              <w:sz w:val="15"/>
              <w:szCs w:val="15"/>
            </w:rPr>
            <w:t>.</w:t>
          </w:r>
          <w:r>
            <w:rPr>
              <w:rFonts w:ascii="Arial" w:hAnsi="Arial" w:eastAsia="楷体_GB2312" w:cs="Arial"/>
              <w:sz w:val="15"/>
              <w:szCs w:val="15"/>
            </w:rPr>
            <w:t>C</w:t>
          </w:r>
          <w:r>
            <w:rPr>
              <w:rFonts w:hint="eastAsia" w:ascii="Arial" w:hAnsi="Arial" w:eastAsia="楷体_GB2312" w:cs="Arial"/>
              <w:sz w:val="15"/>
              <w:szCs w:val="15"/>
            </w:rPr>
            <w:t>hina</w:t>
          </w:r>
        </w:p>
      </w:tc>
      <w:tc>
        <w:tcPr>
          <w:tcW w:w="776" w:type="dxa"/>
          <w:tcBorders>
            <w:left w:val="single" w:color="auto" w:sz="4" w:space="0"/>
          </w:tcBorders>
          <w:tcMar>
            <w:left w:w="28" w:type="dxa"/>
          </w:tcMar>
          <w:vAlign w:val="bottom"/>
        </w:tcPr>
        <w:p>
          <w:pPr>
            <w:pStyle w:val="6"/>
            <w:spacing w:after="0"/>
            <w:jc w:val="both"/>
            <w:rPr>
              <w:rFonts w:ascii="Arial" w:hAnsi="Arial"/>
              <w:sz w:val="15"/>
              <w:lang w:val="en-US"/>
            </w:rPr>
          </w:pPr>
        </w:p>
        <w:p>
          <w:pPr>
            <w:pStyle w:val="6"/>
            <w:spacing w:after="0" w:line="190" w:lineRule="exact"/>
            <w:jc w:val="both"/>
            <w:rPr>
              <w:rFonts w:ascii="Arial" w:hAnsi="Arial"/>
              <w:sz w:val="15"/>
              <w:lang w:val="en-US"/>
            </w:rPr>
          </w:pPr>
          <w:r>
            <w:rPr>
              <w:rFonts w:hint="eastAsia" w:ascii="Arial" w:hAnsi="Arial"/>
              <w:sz w:val="15"/>
              <w:lang w:val="en-US"/>
            </w:rPr>
            <w:t>传真:</w:t>
          </w:r>
        </w:p>
        <w:p>
          <w:pPr>
            <w:pStyle w:val="6"/>
            <w:spacing w:after="0" w:line="190" w:lineRule="exact"/>
            <w:ind w:left="1" w:leftChars="-13" w:hanging="28" w:hangingChars="19"/>
            <w:jc w:val="both"/>
            <w:rPr>
              <w:rFonts w:ascii="Arial" w:hAnsi="Arial"/>
              <w:sz w:val="15"/>
              <w:lang w:val="en-US"/>
            </w:rPr>
          </w:pPr>
          <w:r>
            <w:rPr>
              <w:rFonts w:ascii="Arial" w:hAnsi="Arial"/>
              <w:sz w:val="15"/>
              <w:lang w:val="en-US"/>
            </w:rPr>
            <w:t>facsimile:</w:t>
          </w:r>
        </w:p>
      </w:tc>
      <w:tc>
        <w:tcPr>
          <w:tcW w:w="1549" w:type="dxa"/>
          <w:tcBorders>
            <w:right w:val="nil"/>
          </w:tcBorders>
          <w:tcMar>
            <w:left w:w="28" w:type="dxa"/>
          </w:tcMar>
          <w:vAlign w:val="bottom"/>
        </w:tcPr>
        <w:p>
          <w:pPr>
            <w:pStyle w:val="6"/>
            <w:spacing w:after="0"/>
            <w:jc w:val="both"/>
            <w:rPr>
              <w:rFonts w:ascii="Arial" w:hAnsi="Arial"/>
              <w:sz w:val="15"/>
              <w:lang w:val="en-US"/>
            </w:rPr>
          </w:pPr>
          <w:r>
            <w:rPr>
              <w:rFonts w:ascii="Arial" w:hAnsi="Arial"/>
              <w:sz w:val="15"/>
              <w:lang w:val="en-US"/>
            </w:rPr>
            <w:t>+86(</w:t>
          </w:r>
          <w:r>
            <w:rPr>
              <w:rFonts w:hint="eastAsia" w:ascii="Arial" w:hAnsi="Arial"/>
              <w:sz w:val="15"/>
              <w:lang w:val="en-US"/>
            </w:rPr>
            <w:t>027</w:t>
          </w:r>
          <w:r>
            <w:rPr>
              <w:rFonts w:ascii="Arial" w:hAnsi="Arial"/>
              <w:sz w:val="15"/>
              <w:lang w:val="en-US"/>
            </w:rPr>
            <w:t>)</w:t>
          </w:r>
          <w:r>
            <w:rPr>
              <w:rFonts w:hint="eastAsia" w:ascii="Arial" w:hAnsi="Arial"/>
              <w:sz w:val="15"/>
              <w:lang w:val="en-US"/>
            </w:rPr>
            <w:t>59759922</w:t>
          </w:r>
        </w:p>
        <w:p>
          <w:pPr>
            <w:pStyle w:val="6"/>
            <w:spacing w:after="0"/>
            <w:jc w:val="both"/>
            <w:rPr>
              <w:rFonts w:ascii="Arial" w:hAnsi="Arial"/>
              <w:sz w:val="15"/>
              <w:lang w:val="en-US"/>
            </w:rPr>
          </w:pPr>
          <w:r>
            <w:rPr>
              <w:rFonts w:ascii="Arial" w:hAnsi="Arial"/>
              <w:sz w:val="15"/>
              <w:lang w:val="en-US"/>
            </w:rPr>
            <w:t>+86(</w:t>
          </w:r>
          <w:r>
            <w:rPr>
              <w:rFonts w:hint="eastAsia" w:ascii="Arial" w:hAnsi="Arial"/>
              <w:sz w:val="15"/>
              <w:lang w:val="en-US"/>
            </w:rPr>
            <w:t>027</w:t>
          </w:r>
          <w:r>
            <w:rPr>
              <w:rFonts w:ascii="Arial" w:hAnsi="Arial"/>
              <w:sz w:val="15"/>
              <w:lang w:val="en-US"/>
            </w:rPr>
            <w:t>)</w:t>
          </w:r>
          <w:r>
            <w:rPr>
              <w:rFonts w:hint="eastAsia" w:ascii="Arial" w:hAnsi="Arial"/>
              <w:sz w:val="15"/>
              <w:lang w:val="en-US"/>
            </w:rPr>
            <w:t>59759922</w:t>
          </w:r>
        </w:p>
      </w:tc>
    </w:tr>
  </w:tbl>
  <w:p>
    <w:pPr>
      <w:pStyle w:val="12"/>
      <w:pBdr>
        <w:bottom w:val="none" w:color="auto" w:sz="0" w:space="0"/>
      </w:pBdr>
    </w:pPr>
  </w:p>
  <w:bookmarkEnd w:id="2"/>
  <w:bookmarkEnd w:id="3"/>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D639E"/>
    <w:multiLevelType w:val="singleLevel"/>
    <w:tmpl w:val="E56D639E"/>
    <w:lvl w:ilvl="0" w:tentative="0">
      <w:start w:val="1"/>
      <w:numFmt w:val="chineseCounting"/>
      <w:suff w:val="space"/>
      <w:lvlText w:val="%1、"/>
      <w:lvlJc w:val="left"/>
      <w:rPr>
        <w:rFonts w:hint="eastAsia" w:ascii="宋体" w:hAnsi="宋体" w:eastAsia="宋体"/>
        <w:lang w:val="en-US"/>
      </w:rPr>
    </w:lvl>
  </w:abstractNum>
  <w:abstractNum w:abstractNumId="1">
    <w:nsid w:val="20E9472B"/>
    <w:multiLevelType w:val="multilevel"/>
    <w:tmpl w:val="20E9472B"/>
    <w:lvl w:ilvl="0" w:tentative="0">
      <w:start w:val="2"/>
      <w:numFmt w:val="decimal"/>
      <w:lvlText w:val="（%1）"/>
      <w:lvlJc w:val="left"/>
      <w:pPr>
        <w:ind w:left="116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230638"/>
    <w:multiLevelType w:val="multilevel"/>
    <w:tmpl w:val="28230638"/>
    <w:lvl w:ilvl="0" w:tentative="0">
      <w:start w:val="1"/>
      <w:numFmt w:val="decimal"/>
      <w:lvlText w:val="（%1）"/>
      <w:lvlJc w:val="left"/>
      <w:pPr>
        <w:ind w:left="3556" w:hanging="720"/>
      </w:pPr>
      <w:rPr>
        <w:rFonts w:ascii="宋体" w:hAnsi="宋体" w:eastAsia="宋体" w:cs="宋体"/>
      </w:rPr>
    </w:lvl>
    <w:lvl w:ilvl="1" w:tentative="0">
      <w:start w:val="1"/>
      <w:numFmt w:val="decimal"/>
      <w:lvlText w:val="（%2）"/>
      <w:lvlJc w:val="left"/>
      <w:pPr>
        <w:ind w:left="3976" w:hanging="720"/>
      </w:pPr>
      <w:rPr>
        <w:rFonts w:hint="default"/>
      </w:rPr>
    </w:lvl>
    <w:lvl w:ilvl="2" w:tentative="0">
      <w:start w:val="1"/>
      <w:numFmt w:val="lowerRoman"/>
      <w:lvlText w:val="%3."/>
      <w:lvlJc w:val="right"/>
      <w:pPr>
        <w:ind w:left="4096" w:hanging="420"/>
      </w:pPr>
    </w:lvl>
    <w:lvl w:ilvl="3" w:tentative="0">
      <w:start w:val="1"/>
      <w:numFmt w:val="decimal"/>
      <w:lvlText w:val="%4."/>
      <w:lvlJc w:val="left"/>
      <w:pPr>
        <w:ind w:left="4516" w:hanging="420"/>
      </w:pPr>
    </w:lvl>
    <w:lvl w:ilvl="4" w:tentative="0">
      <w:start w:val="1"/>
      <w:numFmt w:val="lowerLetter"/>
      <w:lvlText w:val="%5)"/>
      <w:lvlJc w:val="left"/>
      <w:pPr>
        <w:ind w:left="4936" w:hanging="420"/>
      </w:pPr>
    </w:lvl>
    <w:lvl w:ilvl="5" w:tentative="0">
      <w:start w:val="1"/>
      <w:numFmt w:val="lowerRoman"/>
      <w:lvlText w:val="%6."/>
      <w:lvlJc w:val="right"/>
      <w:pPr>
        <w:ind w:left="5356" w:hanging="420"/>
      </w:pPr>
    </w:lvl>
    <w:lvl w:ilvl="6" w:tentative="0">
      <w:start w:val="1"/>
      <w:numFmt w:val="decimal"/>
      <w:lvlText w:val="%7."/>
      <w:lvlJc w:val="left"/>
      <w:pPr>
        <w:ind w:left="5776" w:hanging="420"/>
      </w:pPr>
    </w:lvl>
    <w:lvl w:ilvl="7" w:tentative="0">
      <w:start w:val="1"/>
      <w:numFmt w:val="lowerLetter"/>
      <w:lvlText w:val="%8)"/>
      <w:lvlJc w:val="left"/>
      <w:pPr>
        <w:ind w:left="6196" w:hanging="420"/>
      </w:pPr>
    </w:lvl>
    <w:lvl w:ilvl="8" w:tentative="0">
      <w:start w:val="1"/>
      <w:numFmt w:val="lowerRoman"/>
      <w:lvlText w:val="%9."/>
      <w:lvlJc w:val="right"/>
      <w:pPr>
        <w:ind w:left="6616" w:hanging="420"/>
      </w:pPr>
    </w:lvl>
  </w:abstractNum>
  <w:abstractNum w:abstractNumId="3">
    <w:nsid w:val="669416A5"/>
    <w:multiLevelType w:val="multilevel"/>
    <w:tmpl w:val="669416A5"/>
    <w:lvl w:ilvl="0" w:tentative="0">
      <w:start w:val="1"/>
      <w:numFmt w:val="japaneseCounting"/>
      <w:lvlText w:val="（%1）"/>
      <w:lvlJc w:val="left"/>
      <w:pPr>
        <w:ind w:left="1162" w:hanging="720"/>
      </w:pPr>
      <w:rPr>
        <w:rFonts w:hint="default"/>
      </w:r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4">
    <w:nsid w:val="74455ED0"/>
    <w:multiLevelType w:val="multilevel"/>
    <w:tmpl w:val="74455ED0"/>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134C40"/>
    <w:rsid w:val="00000C65"/>
    <w:rsid w:val="000029AA"/>
    <w:rsid w:val="0000440A"/>
    <w:rsid w:val="00004D83"/>
    <w:rsid w:val="00006AA8"/>
    <w:rsid w:val="00014937"/>
    <w:rsid w:val="00015049"/>
    <w:rsid w:val="00015532"/>
    <w:rsid w:val="00015EB4"/>
    <w:rsid w:val="000175BE"/>
    <w:rsid w:val="000205AC"/>
    <w:rsid w:val="000301EC"/>
    <w:rsid w:val="000305C9"/>
    <w:rsid w:val="00035173"/>
    <w:rsid w:val="000357AB"/>
    <w:rsid w:val="00035C4A"/>
    <w:rsid w:val="00037C8F"/>
    <w:rsid w:val="000407EA"/>
    <w:rsid w:val="000409A1"/>
    <w:rsid w:val="00041F0E"/>
    <w:rsid w:val="0004225B"/>
    <w:rsid w:val="000446C6"/>
    <w:rsid w:val="00044943"/>
    <w:rsid w:val="0004550D"/>
    <w:rsid w:val="00047540"/>
    <w:rsid w:val="000514E3"/>
    <w:rsid w:val="000517F9"/>
    <w:rsid w:val="000518DC"/>
    <w:rsid w:val="00051E73"/>
    <w:rsid w:val="00052158"/>
    <w:rsid w:val="00053A2A"/>
    <w:rsid w:val="00057974"/>
    <w:rsid w:val="00057AE4"/>
    <w:rsid w:val="0006036E"/>
    <w:rsid w:val="0006401D"/>
    <w:rsid w:val="000642CA"/>
    <w:rsid w:val="00064A35"/>
    <w:rsid w:val="000659E0"/>
    <w:rsid w:val="0006617F"/>
    <w:rsid w:val="00066273"/>
    <w:rsid w:val="000666E9"/>
    <w:rsid w:val="00067210"/>
    <w:rsid w:val="000674BE"/>
    <w:rsid w:val="0008035B"/>
    <w:rsid w:val="000803BE"/>
    <w:rsid w:val="00080886"/>
    <w:rsid w:val="0008385E"/>
    <w:rsid w:val="0008400A"/>
    <w:rsid w:val="00090170"/>
    <w:rsid w:val="00091207"/>
    <w:rsid w:val="00091BD7"/>
    <w:rsid w:val="0009336A"/>
    <w:rsid w:val="00094F7A"/>
    <w:rsid w:val="000A11F7"/>
    <w:rsid w:val="000A309A"/>
    <w:rsid w:val="000A30F7"/>
    <w:rsid w:val="000A3436"/>
    <w:rsid w:val="000A3BDB"/>
    <w:rsid w:val="000A3FD2"/>
    <w:rsid w:val="000B0199"/>
    <w:rsid w:val="000B0493"/>
    <w:rsid w:val="000B1795"/>
    <w:rsid w:val="000B1BCA"/>
    <w:rsid w:val="000B20EB"/>
    <w:rsid w:val="000B37C0"/>
    <w:rsid w:val="000B747A"/>
    <w:rsid w:val="000B7E23"/>
    <w:rsid w:val="000C0773"/>
    <w:rsid w:val="000C0868"/>
    <w:rsid w:val="000C424E"/>
    <w:rsid w:val="000C58A4"/>
    <w:rsid w:val="000C626F"/>
    <w:rsid w:val="000C7D1F"/>
    <w:rsid w:val="000D2D45"/>
    <w:rsid w:val="000D429C"/>
    <w:rsid w:val="000D571C"/>
    <w:rsid w:val="000D680F"/>
    <w:rsid w:val="000D6BDB"/>
    <w:rsid w:val="000E283B"/>
    <w:rsid w:val="000E3319"/>
    <w:rsid w:val="000E4740"/>
    <w:rsid w:val="000E6B4A"/>
    <w:rsid w:val="000F0561"/>
    <w:rsid w:val="000F1633"/>
    <w:rsid w:val="000F2B0A"/>
    <w:rsid w:val="000F3943"/>
    <w:rsid w:val="000F49DA"/>
    <w:rsid w:val="000F5132"/>
    <w:rsid w:val="000F5BFF"/>
    <w:rsid w:val="000F741F"/>
    <w:rsid w:val="000F7E52"/>
    <w:rsid w:val="001009BA"/>
    <w:rsid w:val="00101ED6"/>
    <w:rsid w:val="001023AF"/>
    <w:rsid w:val="00102786"/>
    <w:rsid w:val="00102A62"/>
    <w:rsid w:val="001048D1"/>
    <w:rsid w:val="001054AD"/>
    <w:rsid w:val="001059EA"/>
    <w:rsid w:val="00110150"/>
    <w:rsid w:val="0011122D"/>
    <w:rsid w:val="001122B7"/>
    <w:rsid w:val="001140E8"/>
    <w:rsid w:val="0011449B"/>
    <w:rsid w:val="0012593B"/>
    <w:rsid w:val="00131B7B"/>
    <w:rsid w:val="001325DA"/>
    <w:rsid w:val="00133EEF"/>
    <w:rsid w:val="00137031"/>
    <w:rsid w:val="0013777D"/>
    <w:rsid w:val="001411E6"/>
    <w:rsid w:val="00141A89"/>
    <w:rsid w:val="001478CB"/>
    <w:rsid w:val="00151BC9"/>
    <w:rsid w:val="00152115"/>
    <w:rsid w:val="00152D39"/>
    <w:rsid w:val="00153ED6"/>
    <w:rsid w:val="00162A7D"/>
    <w:rsid w:val="00164AF8"/>
    <w:rsid w:val="00164C8A"/>
    <w:rsid w:val="00165F57"/>
    <w:rsid w:val="001675F0"/>
    <w:rsid w:val="0016779B"/>
    <w:rsid w:val="00174629"/>
    <w:rsid w:val="00175391"/>
    <w:rsid w:val="001759EB"/>
    <w:rsid w:val="00177131"/>
    <w:rsid w:val="00177358"/>
    <w:rsid w:val="00181D1D"/>
    <w:rsid w:val="00182AC1"/>
    <w:rsid w:val="00182DCD"/>
    <w:rsid w:val="00183B41"/>
    <w:rsid w:val="00185115"/>
    <w:rsid w:val="00185742"/>
    <w:rsid w:val="00185E6D"/>
    <w:rsid w:val="00186528"/>
    <w:rsid w:val="0019029E"/>
    <w:rsid w:val="00190535"/>
    <w:rsid w:val="00191969"/>
    <w:rsid w:val="00193461"/>
    <w:rsid w:val="00193ACC"/>
    <w:rsid w:val="00194375"/>
    <w:rsid w:val="00194D8D"/>
    <w:rsid w:val="00194EF1"/>
    <w:rsid w:val="001955D0"/>
    <w:rsid w:val="00197626"/>
    <w:rsid w:val="001976CC"/>
    <w:rsid w:val="001A0482"/>
    <w:rsid w:val="001A0BED"/>
    <w:rsid w:val="001A144D"/>
    <w:rsid w:val="001A1693"/>
    <w:rsid w:val="001A5B8B"/>
    <w:rsid w:val="001A5E96"/>
    <w:rsid w:val="001A5FDC"/>
    <w:rsid w:val="001A770E"/>
    <w:rsid w:val="001B1D9B"/>
    <w:rsid w:val="001B2770"/>
    <w:rsid w:val="001B2AEC"/>
    <w:rsid w:val="001B7137"/>
    <w:rsid w:val="001C0E45"/>
    <w:rsid w:val="001C3238"/>
    <w:rsid w:val="001C467F"/>
    <w:rsid w:val="001C4887"/>
    <w:rsid w:val="001C6AB1"/>
    <w:rsid w:val="001D169B"/>
    <w:rsid w:val="001D183F"/>
    <w:rsid w:val="001D21C3"/>
    <w:rsid w:val="001D2F94"/>
    <w:rsid w:val="001D4D07"/>
    <w:rsid w:val="001D76FB"/>
    <w:rsid w:val="001E0179"/>
    <w:rsid w:val="001E0ACD"/>
    <w:rsid w:val="001E3789"/>
    <w:rsid w:val="001E4DAA"/>
    <w:rsid w:val="001E61DC"/>
    <w:rsid w:val="001E6F4F"/>
    <w:rsid w:val="001F3805"/>
    <w:rsid w:val="001F4239"/>
    <w:rsid w:val="001F4984"/>
    <w:rsid w:val="002007E9"/>
    <w:rsid w:val="00204A65"/>
    <w:rsid w:val="002053BC"/>
    <w:rsid w:val="002057B7"/>
    <w:rsid w:val="00205C6A"/>
    <w:rsid w:val="00210686"/>
    <w:rsid w:val="002106CF"/>
    <w:rsid w:val="002129B9"/>
    <w:rsid w:val="0021348F"/>
    <w:rsid w:val="002151D9"/>
    <w:rsid w:val="0022272A"/>
    <w:rsid w:val="00223F48"/>
    <w:rsid w:val="0022506B"/>
    <w:rsid w:val="00227B2F"/>
    <w:rsid w:val="00230718"/>
    <w:rsid w:val="00232416"/>
    <w:rsid w:val="002335DF"/>
    <w:rsid w:val="0023658E"/>
    <w:rsid w:val="00236F45"/>
    <w:rsid w:val="0023792E"/>
    <w:rsid w:val="00240FD6"/>
    <w:rsid w:val="0024414E"/>
    <w:rsid w:val="00245007"/>
    <w:rsid w:val="002470B0"/>
    <w:rsid w:val="0025037A"/>
    <w:rsid w:val="002510A6"/>
    <w:rsid w:val="0025192F"/>
    <w:rsid w:val="00252C78"/>
    <w:rsid w:val="0025369F"/>
    <w:rsid w:val="0025480B"/>
    <w:rsid w:val="002570DE"/>
    <w:rsid w:val="0026219C"/>
    <w:rsid w:val="002627E1"/>
    <w:rsid w:val="00262DAB"/>
    <w:rsid w:val="00262E73"/>
    <w:rsid w:val="00262FEA"/>
    <w:rsid w:val="0026322B"/>
    <w:rsid w:val="00272D3E"/>
    <w:rsid w:val="00274781"/>
    <w:rsid w:val="002754D7"/>
    <w:rsid w:val="00276BEA"/>
    <w:rsid w:val="00277295"/>
    <w:rsid w:val="00282D00"/>
    <w:rsid w:val="002838C2"/>
    <w:rsid w:val="00283D68"/>
    <w:rsid w:val="002849A8"/>
    <w:rsid w:val="00285C04"/>
    <w:rsid w:val="00291EE3"/>
    <w:rsid w:val="002948B6"/>
    <w:rsid w:val="00295701"/>
    <w:rsid w:val="0029619D"/>
    <w:rsid w:val="0029626F"/>
    <w:rsid w:val="00297A76"/>
    <w:rsid w:val="002A03F5"/>
    <w:rsid w:val="002A2D96"/>
    <w:rsid w:val="002A5781"/>
    <w:rsid w:val="002A59FA"/>
    <w:rsid w:val="002A6A44"/>
    <w:rsid w:val="002A6F23"/>
    <w:rsid w:val="002A7793"/>
    <w:rsid w:val="002A7FD3"/>
    <w:rsid w:val="002B3B2E"/>
    <w:rsid w:val="002B4899"/>
    <w:rsid w:val="002B5DB5"/>
    <w:rsid w:val="002C07F6"/>
    <w:rsid w:val="002C0B1B"/>
    <w:rsid w:val="002C19C8"/>
    <w:rsid w:val="002C2035"/>
    <w:rsid w:val="002C5611"/>
    <w:rsid w:val="002D037A"/>
    <w:rsid w:val="002D0B70"/>
    <w:rsid w:val="002D2347"/>
    <w:rsid w:val="002D520C"/>
    <w:rsid w:val="002D60EA"/>
    <w:rsid w:val="002D79C9"/>
    <w:rsid w:val="002E0401"/>
    <w:rsid w:val="002E4011"/>
    <w:rsid w:val="002E4C6D"/>
    <w:rsid w:val="002E5034"/>
    <w:rsid w:val="002E5471"/>
    <w:rsid w:val="002E7085"/>
    <w:rsid w:val="002E7C2B"/>
    <w:rsid w:val="002F0FD0"/>
    <w:rsid w:val="002F1423"/>
    <w:rsid w:val="002F4892"/>
    <w:rsid w:val="00300D0B"/>
    <w:rsid w:val="00300E9D"/>
    <w:rsid w:val="0030253C"/>
    <w:rsid w:val="00303C11"/>
    <w:rsid w:val="003046D5"/>
    <w:rsid w:val="00306ECB"/>
    <w:rsid w:val="00314015"/>
    <w:rsid w:val="003146DE"/>
    <w:rsid w:val="003207D2"/>
    <w:rsid w:val="00321435"/>
    <w:rsid w:val="0032239C"/>
    <w:rsid w:val="00323CC9"/>
    <w:rsid w:val="0033144C"/>
    <w:rsid w:val="00332584"/>
    <w:rsid w:val="0033429C"/>
    <w:rsid w:val="00335312"/>
    <w:rsid w:val="0033667E"/>
    <w:rsid w:val="0033680E"/>
    <w:rsid w:val="003370B4"/>
    <w:rsid w:val="003401B5"/>
    <w:rsid w:val="00342606"/>
    <w:rsid w:val="00344A5E"/>
    <w:rsid w:val="0034738C"/>
    <w:rsid w:val="0035130C"/>
    <w:rsid w:val="00351E8D"/>
    <w:rsid w:val="00356CDD"/>
    <w:rsid w:val="00356F22"/>
    <w:rsid w:val="00360128"/>
    <w:rsid w:val="00360A16"/>
    <w:rsid w:val="00361D61"/>
    <w:rsid w:val="00375030"/>
    <w:rsid w:val="00375F4E"/>
    <w:rsid w:val="00377589"/>
    <w:rsid w:val="00380C1A"/>
    <w:rsid w:val="003811A9"/>
    <w:rsid w:val="003811C6"/>
    <w:rsid w:val="00381F49"/>
    <w:rsid w:val="003820FA"/>
    <w:rsid w:val="00383DE8"/>
    <w:rsid w:val="003844DD"/>
    <w:rsid w:val="00384A04"/>
    <w:rsid w:val="00387894"/>
    <w:rsid w:val="0039022C"/>
    <w:rsid w:val="00390CC6"/>
    <w:rsid w:val="003914D5"/>
    <w:rsid w:val="00393544"/>
    <w:rsid w:val="00394D79"/>
    <w:rsid w:val="00396BFE"/>
    <w:rsid w:val="00397B7B"/>
    <w:rsid w:val="003A0E06"/>
    <w:rsid w:val="003A1D5B"/>
    <w:rsid w:val="003A2EE0"/>
    <w:rsid w:val="003A3152"/>
    <w:rsid w:val="003A3E32"/>
    <w:rsid w:val="003A4026"/>
    <w:rsid w:val="003A4E21"/>
    <w:rsid w:val="003A5EA0"/>
    <w:rsid w:val="003A7138"/>
    <w:rsid w:val="003B3095"/>
    <w:rsid w:val="003B3BA8"/>
    <w:rsid w:val="003B4A8C"/>
    <w:rsid w:val="003B606B"/>
    <w:rsid w:val="003B7576"/>
    <w:rsid w:val="003C3A58"/>
    <w:rsid w:val="003C4095"/>
    <w:rsid w:val="003C5DAA"/>
    <w:rsid w:val="003C7E29"/>
    <w:rsid w:val="003D2AC9"/>
    <w:rsid w:val="003D5C90"/>
    <w:rsid w:val="003D5CD8"/>
    <w:rsid w:val="003D6A30"/>
    <w:rsid w:val="003D72B7"/>
    <w:rsid w:val="003E1362"/>
    <w:rsid w:val="003E13DC"/>
    <w:rsid w:val="003E14C2"/>
    <w:rsid w:val="003E277C"/>
    <w:rsid w:val="003E2A0E"/>
    <w:rsid w:val="003E2F76"/>
    <w:rsid w:val="003E5B36"/>
    <w:rsid w:val="003F06F2"/>
    <w:rsid w:val="003F08F4"/>
    <w:rsid w:val="003F1FDD"/>
    <w:rsid w:val="003F2C53"/>
    <w:rsid w:val="0040182C"/>
    <w:rsid w:val="00401CA2"/>
    <w:rsid w:val="00401EFA"/>
    <w:rsid w:val="004023C7"/>
    <w:rsid w:val="004027AE"/>
    <w:rsid w:val="00403D33"/>
    <w:rsid w:val="004042E8"/>
    <w:rsid w:val="00405695"/>
    <w:rsid w:val="00405BC2"/>
    <w:rsid w:val="00406068"/>
    <w:rsid w:val="004068FD"/>
    <w:rsid w:val="00407139"/>
    <w:rsid w:val="00410E05"/>
    <w:rsid w:val="00411476"/>
    <w:rsid w:val="004122C7"/>
    <w:rsid w:val="00412CD2"/>
    <w:rsid w:val="0041597B"/>
    <w:rsid w:val="004159C9"/>
    <w:rsid w:val="004204F3"/>
    <w:rsid w:val="0042197B"/>
    <w:rsid w:val="00421DC3"/>
    <w:rsid w:val="00422204"/>
    <w:rsid w:val="00426C77"/>
    <w:rsid w:val="00427094"/>
    <w:rsid w:val="00431D42"/>
    <w:rsid w:val="00432CEE"/>
    <w:rsid w:val="0043351F"/>
    <w:rsid w:val="00433B7C"/>
    <w:rsid w:val="00434A6A"/>
    <w:rsid w:val="004363C1"/>
    <w:rsid w:val="004376EB"/>
    <w:rsid w:val="00437ADA"/>
    <w:rsid w:val="00446FB2"/>
    <w:rsid w:val="004500A7"/>
    <w:rsid w:val="004518F5"/>
    <w:rsid w:val="00453D46"/>
    <w:rsid w:val="00455A1E"/>
    <w:rsid w:val="0046145A"/>
    <w:rsid w:val="00462AB8"/>
    <w:rsid w:val="00464D4C"/>
    <w:rsid w:val="00466123"/>
    <w:rsid w:val="00466279"/>
    <w:rsid w:val="00470148"/>
    <w:rsid w:val="0047038D"/>
    <w:rsid w:val="0047243B"/>
    <w:rsid w:val="00472963"/>
    <w:rsid w:val="0047338F"/>
    <w:rsid w:val="00473E7D"/>
    <w:rsid w:val="00477337"/>
    <w:rsid w:val="004904ED"/>
    <w:rsid w:val="00492089"/>
    <w:rsid w:val="00492441"/>
    <w:rsid w:val="00492A46"/>
    <w:rsid w:val="00494453"/>
    <w:rsid w:val="00494FBD"/>
    <w:rsid w:val="004964A7"/>
    <w:rsid w:val="00497BEF"/>
    <w:rsid w:val="004A0696"/>
    <w:rsid w:val="004A1D58"/>
    <w:rsid w:val="004A43CE"/>
    <w:rsid w:val="004A4578"/>
    <w:rsid w:val="004A468A"/>
    <w:rsid w:val="004A6638"/>
    <w:rsid w:val="004B0819"/>
    <w:rsid w:val="004B2170"/>
    <w:rsid w:val="004B4021"/>
    <w:rsid w:val="004B5747"/>
    <w:rsid w:val="004B78EB"/>
    <w:rsid w:val="004C4DA8"/>
    <w:rsid w:val="004C55E5"/>
    <w:rsid w:val="004D0711"/>
    <w:rsid w:val="004D0C13"/>
    <w:rsid w:val="004D0EB1"/>
    <w:rsid w:val="004D23A9"/>
    <w:rsid w:val="004D2839"/>
    <w:rsid w:val="004D2971"/>
    <w:rsid w:val="004D2AE7"/>
    <w:rsid w:val="004D3381"/>
    <w:rsid w:val="004D35EE"/>
    <w:rsid w:val="004D3C0C"/>
    <w:rsid w:val="004D469F"/>
    <w:rsid w:val="004D561E"/>
    <w:rsid w:val="004E29C8"/>
    <w:rsid w:val="004E62AE"/>
    <w:rsid w:val="004E6444"/>
    <w:rsid w:val="004E68D8"/>
    <w:rsid w:val="004E72E0"/>
    <w:rsid w:val="004F0D1C"/>
    <w:rsid w:val="004F138B"/>
    <w:rsid w:val="004F3AEB"/>
    <w:rsid w:val="004F46DC"/>
    <w:rsid w:val="004F5928"/>
    <w:rsid w:val="004F5AE9"/>
    <w:rsid w:val="004F6C31"/>
    <w:rsid w:val="005017D6"/>
    <w:rsid w:val="00504B58"/>
    <w:rsid w:val="00504E24"/>
    <w:rsid w:val="00504E26"/>
    <w:rsid w:val="00506BAB"/>
    <w:rsid w:val="005073A7"/>
    <w:rsid w:val="0051050B"/>
    <w:rsid w:val="0051234C"/>
    <w:rsid w:val="005127D1"/>
    <w:rsid w:val="00514A61"/>
    <w:rsid w:val="005153F4"/>
    <w:rsid w:val="005205BD"/>
    <w:rsid w:val="00520C2F"/>
    <w:rsid w:val="005244D7"/>
    <w:rsid w:val="00524FC0"/>
    <w:rsid w:val="00525783"/>
    <w:rsid w:val="00525E4B"/>
    <w:rsid w:val="00531FDF"/>
    <w:rsid w:val="00532657"/>
    <w:rsid w:val="005328BB"/>
    <w:rsid w:val="005332B8"/>
    <w:rsid w:val="00537DC9"/>
    <w:rsid w:val="00540EC3"/>
    <w:rsid w:val="00542F4C"/>
    <w:rsid w:val="00544ADD"/>
    <w:rsid w:val="005579C5"/>
    <w:rsid w:val="00557BA8"/>
    <w:rsid w:val="00560FFE"/>
    <w:rsid w:val="00563425"/>
    <w:rsid w:val="005645F8"/>
    <w:rsid w:val="005648E8"/>
    <w:rsid w:val="005675A3"/>
    <w:rsid w:val="0057069E"/>
    <w:rsid w:val="00571F27"/>
    <w:rsid w:val="00572272"/>
    <w:rsid w:val="00573014"/>
    <w:rsid w:val="005740E5"/>
    <w:rsid w:val="005740F7"/>
    <w:rsid w:val="0057469B"/>
    <w:rsid w:val="00576DD5"/>
    <w:rsid w:val="005806CC"/>
    <w:rsid w:val="00581FAF"/>
    <w:rsid w:val="00582758"/>
    <w:rsid w:val="0058568A"/>
    <w:rsid w:val="005873EE"/>
    <w:rsid w:val="00587BC4"/>
    <w:rsid w:val="00591387"/>
    <w:rsid w:val="00592486"/>
    <w:rsid w:val="00593298"/>
    <w:rsid w:val="00593BFA"/>
    <w:rsid w:val="0059511B"/>
    <w:rsid w:val="0059546B"/>
    <w:rsid w:val="005975EE"/>
    <w:rsid w:val="005976D2"/>
    <w:rsid w:val="005A0E42"/>
    <w:rsid w:val="005A210D"/>
    <w:rsid w:val="005A477A"/>
    <w:rsid w:val="005A5125"/>
    <w:rsid w:val="005A5FBC"/>
    <w:rsid w:val="005B1D03"/>
    <w:rsid w:val="005B4DDD"/>
    <w:rsid w:val="005B7DAD"/>
    <w:rsid w:val="005C12C3"/>
    <w:rsid w:val="005C3292"/>
    <w:rsid w:val="005C382F"/>
    <w:rsid w:val="005C5FC6"/>
    <w:rsid w:val="005D4DE9"/>
    <w:rsid w:val="005E1DDE"/>
    <w:rsid w:val="005E1F53"/>
    <w:rsid w:val="005E2C27"/>
    <w:rsid w:val="005E3DC6"/>
    <w:rsid w:val="005E47A3"/>
    <w:rsid w:val="005E584D"/>
    <w:rsid w:val="005F0894"/>
    <w:rsid w:val="005F4230"/>
    <w:rsid w:val="005F6F0F"/>
    <w:rsid w:val="00600B10"/>
    <w:rsid w:val="00600B9F"/>
    <w:rsid w:val="006014E1"/>
    <w:rsid w:val="00601544"/>
    <w:rsid w:val="00601C0E"/>
    <w:rsid w:val="00601E7E"/>
    <w:rsid w:val="00603E02"/>
    <w:rsid w:val="00603E96"/>
    <w:rsid w:val="00604488"/>
    <w:rsid w:val="00605A6F"/>
    <w:rsid w:val="00606C62"/>
    <w:rsid w:val="00611A9B"/>
    <w:rsid w:val="006134A6"/>
    <w:rsid w:val="006160F3"/>
    <w:rsid w:val="00621F33"/>
    <w:rsid w:val="0062438F"/>
    <w:rsid w:val="006254C7"/>
    <w:rsid w:val="00626C2C"/>
    <w:rsid w:val="00626DAE"/>
    <w:rsid w:val="006300AE"/>
    <w:rsid w:val="00630A26"/>
    <w:rsid w:val="00631112"/>
    <w:rsid w:val="0063467F"/>
    <w:rsid w:val="00634AE9"/>
    <w:rsid w:val="00634F3F"/>
    <w:rsid w:val="00635510"/>
    <w:rsid w:val="0063795D"/>
    <w:rsid w:val="00637D98"/>
    <w:rsid w:val="00640505"/>
    <w:rsid w:val="00641932"/>
    <w:rsid w:val="00641EDA"/>
    <w:rsid w:val="00642A6B"/>
    <w:rsid w:val="00642B0B"/>
    <w:rsid w:val="006440E4"/>
    <w:rsid w:val="00646309"/>
    <w:rsid w:val="00647114"/>
    <w:rsid w:val="00650D39"/>
    <w:rsid w:val="00651783"/>
    <w:rsid w:val="00651BC5"/>
    <w:rsid w:val="006521C0"/>
    <w:rsid w:val="00652A99"/>
    <w:rsid w:val="00653CCB"/>
    <w:rsid w:val="0065420E"/>
    <w:rsid w:val="00654258"/>
    <w:rsid w:val="006547C7"/>
    <w:rsid w:val="00655770"/>
    <w:rsid w:val="0065626C"/>
    <w:rsid w:val="00657804"/>
    <w:rsid w:val="00660437"/>
    <w:rsid w:val="00660A61"/>
    <w:rsid w:val="0066255B"/>
    <w:rsid w:val="006644A3"/>
    <w:rsid w:val="00665BC4"/>
    <w:rsid w:val="00666EC8"/>
    <w:rsid w:val="00667916"/>
    <w:rsid w:val="00667EC1"/>
    <w:rsid w:val="00672BAC"/>
    <w:rsid w:val="00675767"/>
    <w:rsid w:val="00675879"/>
    <w:rsid w:val="006763D8"/>
    <w:rsid w:val="006856FB"/>
    <w:rsid w:val="00686E90"/>
    <w:rsid w:val="00691B3F"/>
    <w:rsid w:val="00693145"/>
    <w:rsid w:val="006941F4"/>
    <w:rsid w:val="00694609"/>
    <w:rsid w:val="006948FC"/>
    <w:rsid w:val="00696889"/>
    <w:rsid w:val="006A01AC"/>
    <w:rsid w:val="006A1562"/>
    <w:rsid w:val="006A4E75"/>
    <w:rsid w:val="006A5966"/>
    <w:rsid w:val="006B3088"/>
    <w:rsid w:val="006B377D"/>
    <w:rsid w:val="006B4A4C"/>
    <w:rsid w:val="006B4E7C"/>
    <w:rsid w:val="006B66E4"/>
    <w:rsid w:val="006C2EAF"/>
    <w:rsid w:val="006C319F"/>
    <w:rsid w:val="006C4E8A"/>
    <w:rsid w:val="006C5112"/>
    <w:rsid w:val="006C5A61"/>
    <w:rsid w:val="006C65C0"/>
    <w:rsid w:val="006C76E9"/>
    <w:rsid w:val="006D0E8C"/>
    <w:rsid w:val="006D12D5"/>
    <w:rsid w:val="006D1913"/>
    <w:rsid w:val="006D7453"/>
    <w:rsid w:val="006D7D21"/>
    <w:rsid w:val="006E0FC2"/>
    <w:rsid w:val="006E40A4"/>
    <w:rsid w:val="006E5284"/>
    <w:rsid w:val="006E7BB4"/>
    <w:rsid w:val="006F627E"/>
    <w:rsid w:val="006F711C"/>
    <w:rsid w:val="006F77E0"/>
    <w:rsid w:val="00702FC7"/>
    <w:rsid w:val="0070313A"/>
    <w:rsid w:val="007034AF"/>
    <w:rsid w:val="00703A27"/>
    <w:rsid w:val="00703B7A"/>
    <w:rsid w:val="00704A3D"/>
    <w:rsid w:val="00705BB2"/>
    <w:rsid w:val="00711B78"/>
    <w:rsid w:val="00712163"/>
    <w:rsid w:val="00714790"/>
    <w:rsid w:val="00715A07"/>
    <w:rsid w:val="007171C8"/>
    <w:rsid w:val="00717851"/>
    <w:rsid w:val="0072174C"/>
    <w:rsid w:val="00721AFE"/>
    <w:rsid w:val="007228BD"/>
    <w:rsid w:val="007242A9"/>
    <w:rsid w:val="00725193"/>
    <w:rsid w:val="00725538"/>
    <w:rsid w:val="00725C5A"/>
    <w:rsid w:val="007318A7"/>
    <w:rsid w:val="00731DCA"/>
    <w:rsid w:val="00732A18"/>
    <w:rsid w:val="00732F04"/>
    <w:rsid w:val="00734BA4"/>
    <w:rsid w:val="00740C2F"/>
    <w:rsid w:val="0074110E"/>
    <w:rsid w:val="007415F3"/>
    <w:rsid w:val="007438CD"/>
    <w:rsid w:val="00744590"/>
    <w:rsid w:val="007478FD"/>
    <w:rsid w:val="007518FD"/>
    <w:rsid w:val="00751D89"/>
    <w:rsid w:val="00753558"/>
    <w:rsid w:val="00753C74"/>
    <w:rsid w:val="00755CC5"/>
    <w:rsid w:val="00760755"/>
    <w:rsid w:val="00760B4A"/>
    <w:rsid w:val="00760FC9"/>
    <w:rsid w:val="007615FD"/>
    <w:rsid w:val="00761F4B"/>
    <w:rsid w:val="00762F42"/>
    <w:rsid w:val="00764358"/>
    <w:rsid w:val="00765F2A"/>
    <w:rsid w:val="0076624D"/>
    <w:rsid w:val="007679A9"/>
    <w:rsid w:val="007679DF"/>
    <w:rsid w:val="00767BA6"/>
    <w:rsid w:val="00771072"/>
    <w:rsid w:val="00772D91"/>
    <w:rsid w:val="00773D3D"/>
    <w:rsid w:val="0077518B"/>
    <w:rsid w:val="00775383"/>
    <w:rsid w:val="00775BFA"/>
    <w:rsid w:val="00781572"/>
    <w:rsid w:val="00781992"/>
    <w:rsid w:val="00782569"/>
    <w:rsid w:val="00783102"/>
    <w:rsid w:val="00785AD9"/>
    <w:rsid w:val="007860E6"/>
    <w:rsid w:val="007863A2"/>
    <w:rsid w:val="007874FF"/>
    <w:rsid w:val="007877ED"/>
    <w:rsid w:val="00791AEE"/>
    <w:rsid w:val="007926DC"/>
    <w:rsid w:val="00793C42"/>
    <w:rsid w:val="00793F57"/>
    <w:rsid w:val="00794A76"/>
    <w:rsid w:val="0079573E"/>
    <w:rsid w:val="0079641E"/>
    <w:rsid w:val="007970C1"/>
    <w:rsid w:val="007A13B3"/>
    <w:rsid w:val="007A1D77"/>
    <w:rsid w:val="007A3DAB"/>
    <w:rsid w:val="007A61C7"/>
    <w:rsid w:val="007B0590"/>
    <w:rsid w:val="007B1408"/>
    <w:rsid w:val="007B67A9"/>
    <w:rsid w:val="007C1CF2"/>
    <w:rsid w:val="007C4537"/>
    <w:rsid w:val="007C6CB1"/>
    <w:rsid w:val="007C7D81"/>
    <w:rsid w:val="007D0B9A"/>
    <w:rsid w:val="007D1D29"/>
    <w:rsid w:val="007D23EB"/>
    <w:rsid w:val="007D2CD1"/>
    <w:rsid w:val="007D36B7"/>
    <w:rsid w:val="007D4309"/>
    <w:rsid w:val="007D6126"/>
    <w:rsid w:val="007E0916"/>
    <w:rsid w:val="007E092D"/>
    <w:rsid w:val="007E1F69"/>
    <w:rsid w:val="007E39A6"/>
    <w:rsid w:val="007E4221"/>
    <w:rsid w:val="007E6204"/>
    <w:rsid w:val="007E755B"/>
    <w:rsid w:val="007E7620"/>
    <w:rsid w:val="007F01E7"/>
    <w:rsid w:val="007F03AE"/>
    <w:rsid w:val="007F23E1"/>
    <w:rsid w:val="007F4750"/>
    <w:rsid w:val="007F57C6"/>
    <w:rsid w:val="007F789D"/>
    <w:rsid w:val="00800581"/>
    <w:rsid w:val="008009D2"/>
    <w:rsid w:val="00804C69"/>
    <w:rsid w:val="00805D73"/>
    <w:rsid w:val="008066A3"/>
    <w:rsid w:val="008076F4"/>
    <w:rsid w:val="00810B0A"/>
    <w:rsid w:val="0081224B"/>
    <w:rsid w:val="008134C1"/>
    <w:rsid w:val="0081507E"/>
    <w:rsid w:val="00815400"/>
    <w:rsid w:val="00815AA6"/>
    <w:rsid w:val="00816327"/>
    <w:rsid w:val="0081661A"/>
    <w:rsid w:val="0081690B"/>
    <w:rsid w:val="0082011E"/>
    <w:rsid w:val="00820966"/>
    <w:rsid w:val="00820BF3"/>
    <w:rsid w:val="008224CF"/>
    <w:rsid w:val="00823867"/>
    <w:rsid w:val="00824E11"/>
    <w:rsid w:val="00827B07"/>
    <w:rsid w:val="0083266B"/>
    <w:rsid w:val="00833F65"/>
    <w:rsid w:val="00834975"/>
    <w:rsid w:val="00836DF0"/>
    <w:rsid w:val="00837D9A"/>
    <w:rsid w:val="008422A9"/>
    <w:rsid w:val="00842429"/>
    <w:rsid w:val="00844E4F"/>
    <w:rsid w:val="0084679F"/>
    <w:rsid w:val="0084767B"/>
    <w:rsid w:val="00847C8C"/>
    <w:rsid w:val="008516F3"/>
    <w:rsid w:val="008531A9"/>
    <w:rsid w:val="00855529"/>
    <w:rsid w:val="00860368"/>
    <w:rsid w:val="008605A0"/>
    <w:rsid w:val="00862B29"/>
    <w:rsid w:val="00863E72"/>
    <w:rsid w:val="00864B91"/>
    <w:rsid w:val="00865714"/>
    <w:rsid w:val="00870FDE"/>
    <w:rsid w:val="00872D54"/>
    <w:rsid w:val="00874D0F"/>
    <w:rsid w:val="00875E7A"/>
    <w:rsid w:val="00876E22"/>
    <w:rsid w:val="008779F1"/>
    <w:rsid w:val="008818AC"/>
    <w:rsid w:val="00881A11"/>
    <w:rsid w:val="008860ED"/>
    <w:rsid w:val="00887574"/>
    <w:rsid w:val="00890702"/>
    <w:rsid w:val="00890EB9"/>
    <w:rsid w:val="00891D0B"/>
    <w:rsid w:val="0089333F"/>
    <w:rsid w:val="00893B9D"/>
    <w:rsid w:val="008949A1"/>
    <w:rsid w:val="00895A53"/>
    <w:rsid w:val="008A2940"/>
    <w:rsid w:val="008A48AD"/>
    <w:rsid w:val="008A6054"/>
    <w:rsid w:val="008A64E0"/>
    <w:rsid w:val="008A783C"/>
    <w:rsid w:val="008B0A77"/>
    <w:rsid w:val="008B0D5F"/>
    <w:rsid w:val="008B61B7"/>
    <w:rsid w:val="008C0AB5"/>
    <w:rsid w:val="008C2015"/>
    <w:rsid w:val="008C2016"/>
    <w:rsid w:val="008C211C"/>
    <w:rsid w:val="008C356E"/>
    <w:rsid w:val="008C52CF"/>
    <w:rsid w:val="008C64E3"/>
    <w:rsid w:val="008C704D"/>
    <w:rsid w:val="008D35E7"/>
    <w:rsid w:val="008D5A94"/>
    <w:rsid w:val="008D5C42"/>
    <w:rsid w:val="008D6020"/>
    <w:rsid w:val="008D6B1A"/>
    <w:rsid w:val="008E25D3"/>
    <w:rsid w:val="008E27D0"/>
    <w:rsid w:val="008E5A12"/>
    <w:rsid w:val="008E5E94"/>
    <w:rsid w:val="008E650A"/>
    <w:rsid w:val="008E7072"/>
    <w:rsid w:val="008F36DA"/>
    <w:rsid w:val="008F4F18"/>
    <w:rsid w:val="008F59F1"/>
    <w:rsid w:val="008F642B"/>
    <w:rsid w:val="008F69A8"/>
    <w:rsid w:val="008F7EFB"/>
    <w:rsid w:val="009013A7"/>
    <w:rsid w:val="00901497"/>
    <w:rsid w:val="009037D9"/>
    <w:rsid w:val="00905255"/>
    <w:rsid w:val="00910BE4"/>
    <w:rsid w:val="00910BF9"/>
    <w:rsid w:val="0091443F"/>
    <w:rsid w:val="00914F30"/>
    <w:rsid w:val="00915BD5"/>
    <w:rsid w:val="00915F46"/>
    <w:rsid w:val="009170FE"/>
    <w:rsid w:val="0091753C"/>
    <w:rsid w:val="00920795"/>
    <w:rsid w:val="009231DE"/>
    <w:rsid w:val="00927E05"/>
    <w:rsid w:val="00930938"/>
    <w:rsid w:val="00931F55"/>
    <w:rsid w:val="00933566"/>
    <w:rsid w:val="00934F87"/>
    <w:rsid w:val="0093532E"/>
    <w:rsid w:val="009356EF"/>
    <w:rsid w:val="00936331"/>
    <w:rsid w:val="00937423"/>
    <w:rsid w:val="00940DD4"/>
    <w:rsid w:val="00940EB0"/>
    <w:rsid w:val="00943695"/>
    <w:rsid w:val="00944801"/>
    <w:rsid w:val="00944833"/>
    <w:rsid w:val="009450A9"/>
    <w:rsid w:val="00945E5B"/>
    <w:rsid w:val="009462DE"/>
    <w:rsid w:val="00951114"/>
    <w:rsid w:val="009511A6"/>
    <w:rsid w:val="00951C51"/>
    <w:rsid w:val="00953D75"/>
    <w:rsid w:val="009541AD"/>
    <w:rsid w:val="00954326"/>
    <w:rsid w:val="00955DCC"/>
    <w:rsid w:val="00955E26"/>
    <w:rsid w:val="00957C9B"/>
    <w:rsid w:val="0096271E"/>
    <w:rsid w:val="00963AFD"/>
    <w:rsid w:val="00964D67"/>
    <w:rsid w:val="00964DBC"/>
    <w:rsid w:val="00965AD7"/>
    <w:rsid w:val="00965B78"/>
    <w:rsid w:val="00966D6C"/>
    <w:rsid w:val="00967A9E"/>
    <w:rsid w:val="00974D2F"/>
    <w:rsid w:val="00976CA5"/>
    <w:rsid w:val="00976DBE"/>
    <w:rsid w:val="00980578"/>
    <w:rsid w:val="00980F68"/>
    <w:rsid w:val="0098492F"/>
    <w:rsid w:val="00985F36"/>
    <w:rsid w:val="00990C44"/>
    <w:rsid w:val="0099138F"/>
    <w:rsid w:val="009920F4"/>
    <w:rsid w:val="0099257C"/>
    <w:rsid w:val="0099402F"/>
    <w:rsid w:val="00995492"/>
    <w:rsid w:val="00995932"/>
    <w:rsid w:val="00995E1D"/>
    <w:rsid w:val="00997A34"/>
    <w:rsid w:val="009A283D"/>
    <w:rsid w:val="009A6406"/>
    <w:rsid w:val="009B1F91"/>
    <w:rsid w:val="009B2749"/>
    <w:rsid w:val="009B3CDB"/>
    <w:rsid w:val="009C201B"/>
    <w:rsid w:val="009C2353"/>
    <w:rsid w:val="009C2F49"/>
    <w:rsid w:val="009C446F"/>
    <w:rsid w:val="009C5172"/>
    <w:rsid w:val="009C5507"/>
    <w:rsid w:val="009D0494"/>
    <w:rsid w:val="009D1D54"/>
    <w:rsid w:val="009D2E5D"/>
    <w:rsid w:val="009D3B39"/>
    <w:rsid w:val="009D432E"/>
    <w:rsid w:val="009D620E"/>
    <w:rsid w:val="009D65C9"/>
    <w:rsid w:val="009D6A0A"/>
    <w:rsid w:val="009D7BE0"/>
    <w:rsid w:val="009E0115"/>
    <w:rsid w:val="009E0792"/>
    <w:rsid w:val="009E0827"/>
    <w:rsid w:val="009E2939"/>
    <w:rsid w:val="009E4877"/>
    <w:rsid w:val="009E49B5"/>
    <w:rsid w:val="009E583B"/>
    <w:rsid w:val="009E5D90"/>
    <w:rsid w:val="009F03D8"/>
    <w:rsid w:val="009F366D"/>
    <w:rsid w:val="009F41B5"/>
    <w:rsid w:val="009F5B5D"/>
    <w:rsid w:val="009F65B2"/>
    <w:rsid w:val="009F7D36"/>
    <w:rsid w:val="00A00AA7"/>
    <w:rsid w:val="00A00AAA"/>
    <w:rsid w:val="00A016E5"/>
    <w:rsid w:val="00A0291C"/>
    <w:rsid w:val="00A04A37"/>
    <w:rsid w:val="00A0655B"/>
    <w:rsid w:val="00A10587"/>
    <w:rsid w:val="00A10944"/>
    <w:rsid w:val="00A1404E"/>
    <w:rsid w:val="00A14F40"/>
    <w:rsid w:val="00A15A52"/>
    <w:rsid w:val="00A169A8"/>
    <w:rsid w:val="00A16AC5"/>
    <w:rsid w:val="00A179FE"/>
    <w:rsid w:val="00A2085F"/>
    <w:rsid w:val="00A20C17"/>
    <w:rsid w:val="00A22F49"/>
    <w:rsid w:val="00A24BD5"/>
    <w:rsid w:val="00A2574A"/>
    <w:rsid w:val="00A25917"/>
    <w:rsid w:val="00A3198C"/>
    <w:rsid w:val="00A322F6"/>
    <w:rsid w:val="00A32F78"/>
    <w:rsid w:val="00A36892"/>
    <w:rsid w:val="00A37DAA"/>
    <w:rsid w:val="00A4021D"/>
    <w:rsid w:val="00A40709"/>
    <w:rsid w:val="00A407FA"/>
    <w:rsid w:val="00A42198"/>
    <w:rsid w:val="00A423E0"/>
    <w:rsid w:val="00A43322"/>
    <w:rsid w:val="00A4419C"/>
    <w:rsid w:val="00A44C9B"/>
    <w:rsid w:val="00A46F4B"/>
    <w:rsid w:val="00A4725D"/>
    <w:rsid w:val="00A51486"/>
    <w:rsid w:val="00A55776"/>
    <w:rsid w:val="00A56275"/>
    <w:rsid w:val="00A56C21"/>
    <w:rsid w:val="00A670FF"/>
    <w:rsid w:val="00A70F20"/>
    <w:rsid w:val="00A72312"/>
    <w:rsid w:val="00A73313"/>
    <w:rsid w:val="00A7398F"/>
    <w:rsid w:val="00A73DF6"/>
    <w:rsid w:val="00A754CD"/>
    <w:rsid w:val="00A75BDC"/>
    <w:rsid w:val="00A76E87"/>
    <w:rsid w:val="00A80A8A"/>
    <w:rsid w:val="00A81833"/>
    <w:rsid w:val="00A82B28"/>
    <w:rsid w:val="00A83A2B"/>
    <w:rsid w:val="00A83C43"/>
    <w:rsid w:val="00A83C66"/>
    <w:rsid w:val="00A84821"/>
    <w:rsid w:val="00A84BC5"/>
    <w:rsid w:val="00A85960"/>
    <w:rsid w:val="00A863FC"/>
    <w:rsid w:val="00A87FB0"/>
    <w:rsid w:val="00A906CC"/>
    <w:rsid w:val="00A910C3"/>
    <w:rsid w:val="00A921C4"/>
    <w:rsid w:val="00A93811"/>
    <w:rsid w:val="00A9708C"/>
    <w:rsid w:val="00A973D8"/>
    <w:rsid w:val="00AA1477"/>
    <w:rsid w:val="00AA496C"/>
    <w:rsid w:val="00AA4A42"/>
    <w:rsid w:val="00AA4CCB"/>
    <w:rsid w:val="00AA4FDD"/>
    <w:rsid w:val="00AA628C"/>
    <w:rsid w:val="00AB4A9A"/>
    <w:rsid w:val="00AB52C2"/>
    <w:rsid w:val="00AC1E74"/>
    <w:rsid w:val="00AC2080"/>
    <w:rsid w:val="00AC3CA9"/>
    <w:rsid w:val="00AC4ACA"/>
    <w:rsid w:val="00AC560B"/>
    <w:rsid w:val="00AC6B17"/>
    <w:rsid w:val="00AC7AFA"/>
    <w:rsid w:val="00AD04DF"/>
    <w:rsid w:val="00AD0804"/>
    <w:rsid w:val="00AD26F8"/>
    <w:rsid w:val="00AD29C6"/>
    <w:rsid w:val="00AD2B88"/>
    <w:rsid w:val="00AD4153"/>
    <w:rsid w:val="00AD50BD"/>
    <w:rsid w:val="00AD5E37"/>
    <w:rsid w:val="00AE08CA"/>
    <w:rsid w:val="00AE4E2A"/>
    <w:rsid w:val="00AE5961"/>
    <w:rsid w:val="00AE5AA6"/>
    <w:rsid w:val="00AF170A"/>
    <w:rsid w:val="00AF2E08"/>
    <w:rsid w:val="00AF4639"/>
    <w:rsid w:val="00AF473B"/>
    <w:rsid w:val="00AF71B4"/>
    <w:rsid w:val="00AF7C85"/>
    <w:rsid w:val="00B00667"/>
    <w:rsid w:val="00B00B8A"/>
    <w:rsid w:val="00B03292"/>
    <w:rsid w:val="00B048CF"/>
    <w:rsid w:val="00B06163"/>
    <w:rsid w:val="00B0696C"/>
    <w:rsid w:val="00B10787"/>
    <w:rsid w:val="00B10C36"/>
    <w:rsid w:val="00B10D5A"/>
    <w:rsid w:val="00B12A2E"/>
    <w:rsid w:val="00B14666"/>
    <w:rsid w:val="00B14DAC"/>
    <w:rsid w:val="00B15334"/>
    <w:rsid w:val="00B17629"/>
    <w:rsid w:val="00B17F66"/>
    <w:rsid w:val="00B201A4"/>
    <w:rsid w:val="00B22BF0"/>
    <w:rsid w:val="00B23012"/>
    <w:rsid w:val="00B23392"/>
    <w:rsid w:val="00B238B0"/>
    <w:rsid w:val="00B2452E"/>
    <w:rsid w:val="00B2610A"/>
    <w:rsid w:val="00B26111"/>
    <w:rsid w:val="00B3061B"/>
    <w:rsid w:val="00B31B27"/>
    <w:rsid w:val="00B35C60"/>
    <w:rsid w:val="00B35CF9"/>
    <w:rsid w:val="00B36D2E"/>
    <w:rsid w:val="00B370F8"/>
    <w:rsid w:val="00B42B95"/>
    <w:rsid w:val="00B44ABF"/>
    <w:rsid w:val="00B467FC"/>
    <w:rsid w:val="00B47B3B"/>
    <w:rsid w:val="00B501DE"/>
    <w:rsid w:val="00B50A8F"/>
    <w:rsid w:val="00B51F23"/>
    <w:rsid w:val="00B52504"/>
    <w:rsid w:val="00B52834"/>
    <w:rsid w:val="00B52FC8"/>
    <w:rsid w:val="00B608A5"/>
    <w:rsid w:val="00B63808"/>
    <w:rsid w:val="00B656E4"/>
    <w:rsid w:val="00B65D21"/>
    <w:rsid w:val="00B660C7"/>
    <w:rsid w:val="00B66679"/>
    <w:rsid w:val="00B678D8"/>
    <w:rsid w:val="00B70037"/>
    <w:rsid w:val="00B70649"/>
    <w:rsid w:val="00B742F5"/>
    <w:rsid w:val="00B76C82"/>
    <w:rsid w:val="00B76D13"/>
    <w:rsid w:val="00B775D9"/>
    <w:rsid w:val="00B77A39"/>
    <w:rsid w:val="00B77D83"/>
    <w:rsid w:val="00B815F5"/>
    <w:rsid w:val="00B8533D"/>
    <w:rsid w:val="00B8555C"/>
    <w:rsid w:val="00B868B9"/>
    <w:rsid w:val="00B8691A"/>
    <w:rsid w:val="00B86A08"/>
    <w:rsid w:val="00B87F58"/>
    <w:rsid w:val="00B90BB8"/>
    <w:rsid w:val="00B93BBE"/>
    <w:rsid w:val="00B93BC7"/>
    <w:rsid w:val="00B93EE6"/>
    <w:rsid w:val="00B95B3A"/>
    <w:rsid w:val="00B95E3D"/>
    <w:rsid w:val="00B95E44"/>
    <w:rsid w:val="00B96CE8"/>
    <w:rsid w:val="00B97201"/>
    <w:rsid w:val="00BA1486"/>
    <w:rsid w:val="00BA22E6"/>
    <w:rsid w:val="00BA2C5C"/>
    <w:rsid w:val="00BA61FA"/>
    <w:rsid w:val="00BB100C"/>
    <w:rsid w:val="00BB110D"/>
    <w:rsid w:val="00BB2184"/>
    <w:rsid w:val="00BB281C"/>
    <w:rsid w:val="00BB363B"/>
    <w:rsid w:val="00BB55F9"/>
    <w:rsid w:val="00BB5A55"/>
    <w:rsid w:val="00BB6849"/>
    <w:rsid w:val="00BB76A8"/>
    <w:rsid w:val="00BB7C9A"/>
    <w:rsid w:val="00BC3F76"/>
    <w:rsid w:val="00BC45C6"/>
    <w:rsid w:val="00BC55A6"/>
    <w:rsid w:val="00BC612E"/>
    <w:rsid w:val="00BC71E0"/>
    <w:rsid w:val="00BD07F6"/>
    <w:rsid w:val="00BD126F"/>
    <w:rsid w:val="00BD19CB"/>
    <w:rsid w:val="00BD2E38"/>
    <w:rsid w:val="00BD4DB5"/>
    <w:rsid w:val="00BD5A7C"/>
    <w:rsid w:val="00BD6758"/>
    <w:rsid w:val="00BD7F0F"/>
    <w:rsid w:val="00BE0B61"/>
    <w:rsid w:val="00BE2533"/>
    <w:rsid w:val="00BE2ACC"/>
    <w:rsid w:val="00BE61CA"/>
    <w:rsid w:val="00BE689E"/>
    <w:rsid w:val="00BE7B8B"/>
    <w:rsid w:val="00BF2AA8"/>
    <w:rsid w:val="00BF5CEE"/>
    <w:rsid w:val="00C0192B"/>
    <w:rsid w:val="00C03721"/>
    <w:rsid w:val="00C04A8E"/>
    <w:rsid w:val="00C05816"/>
    <w:rsid w:val="00C05EE7"/>
    <w:rsid w:val="00C12195"/>
    <w:rsid w:val="00C14719"/>
    <w:rsid w:val="00C1563A"/>
    <w:rsid w:val="00C16AC3"/>
    <w:rsid w:val="00C17735"/>
    <w:rsid w:val="00C21E45"/>
    <w:rsid w:val="00C23587"/>
    <w:rsid w:val="00C24DA7"/>
    <w:rsid w:val="00C269A1"/>
    <w:rsid w:val="00C27096"/>
    <w:rsid w:val="00C2719E"/>
    <w:rsid w:val="00C317C3"/>
    <w:rsid w:val="00C3495C"/>
    <w:rsid w:val="00C352B0"/>
    <w:rsid w:val="00C35C51"/>
    <w:rsid w:val="00C35F83"/>
    <w:rsid w:val="00C4026A"/>
    <w:rsid w:val="00C40BFA"/>
    <w:rsid w:val="00C410B9"/>
    <w:rsid w:val="00C425AD"/>
    <w:rsid w:val="00C443EB"/>
    <w:rsid w:val="00C4467B"/>
    <w:rsid w:val="00C455D5"/>
    <w:rsid w:val="00C45A35"/>
    <w:rsid w:val="00C51D35"/>
    <w:rsid w:val="00C526BF"/>
    <w:rsid w:val="00C56E95"/>
    <w:rsid w:val="00C57424"/>
    <w:rsid w:val="00C57DC6"/>
    <w:rsid w:val="00C6122C"/>
    <w:rsid w:val="00C61706"/>
    <w:rsid w:val="00C6199C"/>
    <w:rsid w:val="00C646AB"/>
    <w:rsid w:val="00C64A09"/>
    <w:rsid w:val="00C64E7B"/>
    <w:rsid w:val="00C6623B"/>
    <w:rsid w:val="00C666AC"/>
    <w:rsid w:val="00C666BA"/>
    <w:rsid w:val="00C70CFE"/>
    <w:rsid w:val="00C72644"/>
    <w:rsid w:val="00C7306A"/>
    <w:rsid w:val="00C75F2B"/>
    <w:rsid w:val="00C760BA"/>
    <w:rsid w:val="00C8284B"/>
    <w:rsid w:val="00C82981"/>
    <w:rsid w:val="00C83001"/>
    <w:rsid w:val="00C830E8"/>
    <w:rsid w:val="00C845A8"/>
    <w:rsid w:val="00C846F7"/>
    <w:rsid w:val="00C8646F"/>
    <w:rsid w:val="00C8712A"/>
    <w:rsid w:val="00C87A84"/>
    <w:rsid w:val="00C91068"/>
    <w:rsid w:val="00C92B0E"/>
    <w:rsid w:val="00C94B40"/>
    <w:rsid w:val="00C96D4A"/>
    <w:rsid w:val="00C973D2"/>
    <w:rsid w:val="00C97FE3"/>
    <w:rsid w:val="00CA05D8"/>
    <w:rsid w:val="00CA2ED3"/>
    <w:rsid w:val="00CA32CA"/>
    <w:rsid w:val="00CA41B2"/>
    <w:rsid w:val="00CA54A7"/>
    <w:rsid w:val="00CA57F7"/>
    <w:rsid w:val="00CA5BDF"/>
    <w:rsid w:val="00CA5C65"/>
    <w:rsid w:val="00CA5E20"/>
    <w:rsid w:val="00CA6AF3"/>
    <w:rsid w:val="00CB018D"/>
    <w:rsid w:val="00CB0C5F"/>
    <w:rsid w:val="00CB106A"/>
    <w:rsid w:val="00CB2486"/>
    <w:rsid w:val="00CB482B"/>
    <w:rsid w:val="00CB664B"/>
    <w:rsid w:val="00CB76F8"/>
    <w:rsid w:val="00CC1F6E"/>
    <w:rsid w:val="00CC33A7"/>
    <w:rsid w:val="00CC35B5"/>
    <w:rsid w:val="00CC370C"/>
    <w:rsid w:val="00CC4851"/>
    <w:rsid w:val="00CC4FDF"/>
    <w:rsid w:val="00CD2035"/>
    <w:rsid w:val="00CD3273"/>
    <w:rsid w:val="00CD7649"/>
    <w:rsid w:val="00CE1904"/>
    <w:rsid w:val="00CE29BF"/>
    <w:rsid w:val="00CE3EA3"/>
    <w:rsid w:val="00CE40D6"/>
    <w:rsid w:val="00CE4927"/>
    <w:rsid w:val="00CE6CAC"/>
    <w:rsid w:val="00CF16DD"/>
    <w:rsid w:val="00CF1CC1"/>
    <w:rsid w:val="00CF4885"/>
    <w:rsid w:val="00D00187"/>
    <w:rsid w:val="00D01B50"/>
    <w:rsid w:val="00D03247"/>
    <w:rsid w:val="00D05853"/>
    <w:rsid w:val="00D06B51"/>
    <w:rsid w:val="00D072A0"/>
    <w:rsid w:val="00D12554"/>
    <w:rsid w:val="00D12AC3"/>
    <w:rsid w:val="00D1315E"/>
    <w:rsid w:val="00D16D5D"/>
    <w:rsid w:val="00D175C4"/>
    <w:rsid w:val="00D20355"/>
    <w:rsid w:val="00D211B1"/>
    <w:rsid w:val="00D212D5"/>
    <w:rsid w:val="00D21D9C"/>
    <w:rsid w:val="00D224B3"/>
    <w:rsid w:val="00D24248"/>
    <w:rsid w:val="00D26478"/>
    <w:rsid w:val="00D33355"/>
    <w:rsid w:val="00D3636A"/>
    <w:rsid w:val="00D36C6C"/>
    <w:rsid w:val="00D40608"/>
    <w:rsid w:val="00D40819"/>
    <w:rsid w:val="00D40A13"/>
    <w:rsid w:val="00D40F5D"/>
    <w:rsid w:val="00D42361"/>
    <w:rsid w:val="00D4322F"/>
    <w:rsid w:val="00D4342F"/>
    <w:rsid w:val="00D45DF0"/>
    <w:rsid w:val="00D4658F"/>
    <w:rsid w:val="00D46F55"/>
    <w:rsid w:val="00D47AC9"/>
    <w:rsid w:val="00D50AF5"/>
    <w:rsid w:val="00D52E1A"/>
    <w:rsid w:val="00D5380D"/>
    <w:rsid w:val="00D54417"/>
    <w:rsid w:val="00D5484F"/>
    <w:rsid w:val="00D552B7"/>
    <w:rsid w:val="00D55D71"/>
    <w:rsid w:val="00D57C47"/>
    <w:rsid w:val="00D60B3F"/>
    <w:rsid w:val="00D6142C"/>
    <w:rsid w:val="00D623A2"/>
    <w:rsid w:val="00D6567F"/>
    <w:rsid w:val="00D65A1A"/>
    <w:rsid w:val="00D67503"/>
    <w:rsid w:val="00D702C6"/>
    <w:rsid w:val="00D7485B"/>
    <w:rsid w:val="00D75C89"/>
    <w:rsid w:val="00D76679"/>
    <w:rsid w:val="00D80F1E"/>
    <w:rsid w:val="00D8275E"/>
    <w:rsid w:val="00D8296B"/>
    <w:rsid w:val="00D82E58"/>
    <w:rsid w:val="00D832EF"/>
    <w:rsid w:val="00D852C2"/>
    <w:rsid w:val="00D87564"/>
    <w:rsid w:val="00D87B53"/>
    <w:rsid w:val="00D904CF"/>
    <w:rsid w:val="00D91C72"/>
    <w:rsid w:val="00D9224C"/>
    <w:rsid w:val="00D9363B"/>
    <w:rsid w:val="00D94650"/>
    <w:rsid w:val="00D94675"/>
    <w:rsid w:val="00D957A8"/>
    <w:rsid w:val="00D963DF"/>
    <w:rsid w:val="00D97AA3"/>
    <w:rsid w:val="00D97D60"/>
    <w:rsid w:val="00DA009F"/>
    <w:rsid w:val="00DA20C3"/>
    <w:rsid w:val="00DA6945"/>
    <w:rsid w:val="00DB2776"/>
    <w:rsid w:val="00DB3050"/>
    <w:rsid w:val="00DB4E95"/>
    <w:rsid w:val="00DB70B7"/>
    <w:rsid w:val="00DB7468"/>
    <w:rsid w:val="00DB7EDD"/>
    <w:rsid w:val="00DC1F8E"/>
    <w:rsid w:val="00DC2E8D"/>
    <w:rsid w:val="00DD25B2"/>
    <w:rsid w:val="00DD2DD3"/>
    <w:rsid w:val="00DD3BED"/>
    <w:rsid w:val="00DD4916"/>
    <w:rsid w:val="00DD4BCE"/>
    <w:rsid w:val="00DD4C6A"/>
    <w:rsid w:val="00DD717F"/>
    <w:rsid w:val="00DE06FB"/>
    <w:rsid w:val="00DE0E6A"/>
    <w:rsid w:val="00DE1C1F"/>
    <w:rsid w:val="00DE1E6C"/>
    <w:rsid w:val="00DE2D16"/>
    <w:rsid w:val="00DE567B"/>
    <w:rsid w:val="00DE75D0"/>
    <w:rsid w:val="00DE7812"/>
    <w:rsid w:val="00DF57A2"/>
    <w:rsid w:val="00DF6644"/>
    <w:rsid w:val="00E019A7"/>
    <w:rsid w:val="00E01E25"/>
    <w:rsid w:val="00E02565"/>
    <w:rsid w:val="00E044AF"/>
    <w:rsid w:val="00E04787"/>
    <w:rsid w:val="00E066C4"/>
    <w:rsid w:val="00E10438"/>
    <w:rsid w:val="00E1068C"/>
    <w:rsid w:val="00E11BAD"/>
    <w:rsid w:val="00E128BD"/>
    <w:rsid w:val="00E1486C"/>
    <w:rsid w:val="00E1660D"/>
    <w:rsid w:val="00E176AE"/>
    <w:rsid w:val="00E2201A"/>
    <w:rsid w:val="00E23A63"/>
    <w:rsid w:val="00E245BE"/>
    <w:rsid w:val="00E2703E"/>
    <w:rsid w:val="00E30891"/>
    <w:rsid w:val="00E32EA0"/>
    <w:rsid w:val="00E33A23"/>
    <w:rsid w:val="00E34DA9"/>
    <w:rsid w:val="00E40A44"/>
    <w:rsid w:val="00E41B7A"/>
    <w:rsid w:val="00E4296F"/>
    <w:rsid w:val="00E50093"/>
    <w:rsid w:val="00E50337"/>
    <w:rsid w:val="00E51732"/>
    <w:rsid w:val="00E52F84"/>
    <w:rsid w:val="00E559BF"/>
    <w:rsid w:val="00E55BFB"/>
    <w:rsid w:val="00E56493"/>
    <w:rsid w:val="00E57496"/>
    <w:rsid w:val="00E60B23"/>
    <w:rsid w:val="00E65698"/>
    <w:rsid w:val="00E66623"/>
    <w:rsid w:val="00E713D4"/>
    <w:rsid w:val="00E71F33"/>
    <w:rsid w:val="00E73BFC"/>
    <w:rsid w:val="00E73CA4"/>
    <w:rsid w:val="00E74460"/>
    <w:rsid w:val="00E74D0C"/>
    <w:rsid w:val="00E751CC"/>
    <w:rsid w:val="00E76DF2"/>
    <w:rsid w:val="00E77782"/>
    <w:rsid w:val="00E81766"/>
    <w:rsid w:val="00E82841"/>
    <w:rsid w:val="00E833F5"/>
    <w:rsid w:val="00E83AF2"/>
    <w:rsid w:val="00E853FC"/>
    <w:rsid w:val="00E86DBA"/>
    <w:rsid w:val="00E86E83"/>
    <w:rsid w:val="00E90591"/>
    <w:rsid w:val="00E90A7B"/>
    <w:rsid w:val="00E90AC2"/>
    <w:rsid w:val="00E92A52"/>
    <w:rsid w:val="00E93401"/>
    <w:rsid w:val="00E96A79"/>
    <w:rsid w:val="00E97983"/>
    <w:rsid w:val="00EA0C45"/>
    <w:rsid w:val="00EA4698"/>
    <w:rsid w:val="00EA4902"/>
    <w:rsid w:val="00EA5101"/>
    <w:rsid w:val="00EA75DE"/>
    <w:rsid w:val="00EA7C7D"/>
    <w:rsid w:val="00EA7ED1"/>
    <w:rsid w:val="00EB26CC"/>
    <w:rsid w:val="00EB4D47"/>
    <w:rsid w:val="00EC544B"/>
    <w:rsid w:val="00ED730C"/>
    <w:rsid w:val="00EE0630"/>
    <w:rsid w:val="00EE1F4A"/>
    <w:rsid w:val="00EE3131"/>
    <w:rsid w:val="00EE3C7A"/>
    <w:rsid w:val="00EE67D2"/>
    <w:rsid w:val="00EE7F3A"/>
    <w:rsid w:val="00EF0B75"/>
    <w:rsid w:val="00EF112E"/>
    <w:rsid w:val="00EF4BBD"/>
    <w:rsid w:val="00EF545C"/>
    <w:rsid w:val="00F00F2E"/>
    <w:rsid w:val="00F012CB"/>
    <w:rsid w:val="00F01B44"/>
    <w:rsid w:val="00F0219F"/>
    <w:rsid w:val="00F04D33"/>
    <w:rsid w:val="00F06907"/>
    <w:rsid w:val="00F117E0"/>
    <w:rsid w:val="00F11B46"/>
    <w:rsid w:val="00F12B6B"/>
    <w:rsid w:val="00F13578"/>
    <w:rsid w:val="00F14A3D"/>
    <w:rsid w:val="00F1669F"/>
    <w:rsid w:val="00F17C23"/>
    <w:rsid w:val="00F23722"/>
    <w:rsid w:val="00F24266"/>
    <w:rsid w:val="00F24512"/>
    <w:rsid w:val="00F25C9B"/>
    <w:rsid w:val="00F25E2D"/>
    <w:rsid w:val="00F30D68"/>
    <w:rsid w:val="00F320F1"/>
    <w:rsid w:val="00F324F9"/>
    <w:rsid w:val="00F35826"/>
    <w:rsid w:val="00F369D2"/>
    <w:rsid w:val="00F369E9"/>
    <w:rsid w:val="00F36D62"/>
    <w:rsid w:val="00F37AC2"/>
    <w:rsid w:val="00F37C86"/>
    <w:rsid w:val="00F37E33"/>
    <w:rsid w:val="00F42DBB"/>
    <w:rsid w:val="00F43237"/>
    <w:rsid w:val="00F44181"/>
    <w:rsid w:val="00F4451A"/>
    <w:rsid w:val="00F44942"/>
    <w:rsid w:val="00F44B55"/>
    <w:rsid w:val="00F45387"/>
    <w:rsid w:val="00F46597"/>
    <w:rsid w:val="00F477B0"/>
    <w:rsid w:val="00F506C1"/>
    <w:rsid w:val="00F51AFF"/>
    <w:rsid w:val="00F524D1"/>
    <w:rsid w:val="00F52F7E"/>
    <w:rsid w:val="00F54347"/>
    <w:rsid w:val="00F545EB"/>
    <w:rsid w:val="00F54BD4"/>
    <w:rsid w:val="00F55295"/>
    <w:rsid w:val="00F560BC"/>
    <w:rsid w:val="00F57543"/>
    <w:rsid w:val="00F57B61"/>
    <w:rsid w:val="00F64BCB"/>
    <w:rsid w:val="00F6600C"/>
    <w:rsid w:val="00F6707A"/>
    <w:rsid w:val="00F70824"/>
    <w:rsid w:val="00F71B78"/>
    <w:rsid w:val="00F72539"/>
    <w:rsid w:val="00F742CF"/>
    <w:rsid w:val="00F743BF"/>
    <w:rsid w:val="00F74D35"/>
    <w:rsid w:val="00F77B12"/>
    <w:rsid w:val="00F80925"/>
    <w:rsid w:val="00F84DF5"/>
    <w:rsid w:val="00F8595B"/>
    <w:rsid w:val="00F902D2"/>
    <w:rsid w:val="00F907CC"/>
    <w:rsid w:val="00F93411"/>
    <w:rsid w:val="00F9435F"/>
    <w:rsid w:val="00F97038"/>
    <w:rsid w:val="00F971BF"/>
    <w:rsid w:val="00F977EE"/>
    <w:rsid w:val="00F97B6D"/>
    <w:rsid w:val="00FB0F20"/>
    <w:rsid w:val="00FB17E1"/>
    <w:rsid w:val="00FB3454"/>
    <w:rsid w:val="00FB3E47"/>
    <w:rsid w:val="00FB4563"/>
    <w:rsid w:val="00FB7A13"/>
    <w:rsid w:val="00FC1B3C"/>
    <w:rsid w:val="00FC20E1"/>
    <w:rsid w:val="00FC3854"/>
    <w:rsid w:val="00FC4477"/>
    <w:rsid w:val="00FC4F60"/>
    <w:rsid w:val="00FD2322"/>
    <w:rsid w:val="00FD42FB"/>
    <w:rsid w:val="00FD4412"/>
    <w:rsid w:val="00FD4673"/>
    <w:rsid w:val="00FD52CA"/>
    <w:rsid w:val="00FD603E"/>
    <w:rsid w:val="00FE4832"/>
    <w:rsid w:val="00FE55AA"/>
    <w:rsid w:val="00FE5625"/>
    <w:rsid w:val="00FE5640"/>
    <w:rsid w:val="00FE5DA5"/>
    <w:rsid w:val="00FE7758"/>
    <w:rsid w:val="00FF24E0"/>
    <w:rsid w:val="00FF28BA"/>
    <w:rsid w:val="00FF3C2B"/>
    <w:rsid w:val="00FF45B2"/>
    <w:rsid w:val="00FF5192"/>
    <w:rsid w:val="00FF6694"/>
    <w:rsid w:val="00FF6884"/>
    <w:rsid w:val="1D414699"/>
    <w:rsid w:val="26134C40"/>
    <w:rsid w:val="380D062A"/>
    <w:rsid w:val="42696550"/>
    <w:rsid w:val="7ADA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Cambria" w:hAnsi="Cambria"/>
      <w:b/>
      <w:bCs/>
      <w:sz w:val="32"/>
      <w:szCs w:val="32"/>
    </w:rPr>
  </w:style>
  <w:style w:type="character" w:default="1" w:styleId="18">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qFormat/>
    <w:uiPriority w:val="0"/>
    <w:rPr>
      <w:rFonts w:ascii="宋体"/>
      <w:sz w:val="18"/>
      <w:szCs w:val="18"/>
    </w:rPr>
  </w:style>
  <w:style w:type="paragraph" w:styleId="5">
    <w:name w:val="annotation text"/>
    <w:basedOn w:val="1"/>
    <w:link w:val="29"/>
    <w:qFormat/>
    <w:uiPriority w:val="0"/>
    <w:pPr>
      <w:jc w:val="left"/>
    </w:pPr>
  </w:style>
  <w:style w:type="paragraph" w:styleId="6">
    <w:name w:val="Body Text"/>
    <w:basedOn w:val="1"/>
    <w:qFormat/>
    <w:uiPriority w:val="0"/>
    <w:pPr>
      <w:widowControl/>
      <w:tabs>
        <w:tab w:val="left" w:pos="720"/>
        <w:tab w:val="left" w:pos="1440"/>
        <w:tab w:val="left" w:pos="2160"/>
        <w:tab w:val="left" w:pos="2880"/>
        <w:tab w:val="left" w:pos="3600"/>
        <w:tab w:val="left" w:pos="4321"/>
        <w:tab w:val="left" w:pos="5041"/>
        <w:tab w:val="left" w:pos="5761"/>
        <w:tab w:val="left" w:pos="6481"/>
        <w:tab w:val="left" w:pos="7201"/>
        <w:tab w:val="left" w:pos="7921"/>
      </w:tabs>
      <w:autoSpaceDE w:val="0"/>
      <w:autoSpaceDN w:val="0"/>
      <w:spacing w:after="120"/>
      <w:jc w:val="left"/>
    </w:pPr>
    <w:rPr>
      <w:kern w:val="0"/>
      <w:sz w:val="24"/>
      <w:lang w:val="en-AU"/>
    </w:rPr>
  </w:style>
  <w:style w:type="paragraph" w:styleId="7">
    <w:name w:val="Body Text Indent"/>
    <w:basedOn w:val="1"/>
    <w:link w:val="34"/>
    <w:semiHidden/>
    <w:unhideWhenUsed/>
    <w:qFormat/>
    <w:uiPriority w:val="0"/>
    <w:pPr>
      <w:spacing w:after="120"/>
      <w:ind w:left="420" w:leftChars="200"/>
    </w:pPr>
  </w:style>
  <w:style w:type="paragraph" w:styleId="8">
    <w:name w:val="Plain Text"/>
    <w:basedOn w:val="1"/>
    <w:link w:val="35"/>
    <w:qFormat/>
    <w:uiPriority w:val="99"/>
    <w:rPr>
      <w:rFonts w:ascii="宋体" w:hAnsi="Courier New"/>
      <w:szCs w:val="21"/>
    </w:rPr>
  </w:style>
  <w:style w:type="paragraph" w:styleId="9">
    <w:name w:val="Date"/>
    <w:basedOn w:val="1"/>
    <w:next w:val="1"/>
    <w:link w:val="32"/>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link w:val="37"/>
    <w:qFormat/>
    <w:uiPriority w:val="99"/>
    <w:pPr>
      <w:tabs>
        <w:tab w:val="center" w:pos="4153"/>
        <w:tab w:val="right" w:pos="8306"/>
      </w:tabs>
      <w:snapToGrid w:val="0"/>
      <w:jc w:val="left"/>
    </w:pPr>
    <w:rPr>
      <w:sz w:val="18"/>
    </w:rPr>
  </w:style>
  <w:style w:type="paragraph" w:styleId="12">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30"/>
    <w:qFormat/>
    <w:uiPriority w:val="0"/>
    <w:rPr>
      <w:b/>
      <w:bCs/>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7">
    <w:name w:val="Table Theme"/>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Emphasis"/>
    <w:basedOn w:val="18"/>
    <w:qFormat/>
    <w:uiPriority w:val="0"/>
    <w:rPr>
      <w:i/>
      <w:iCs/>
    </w:rPr>
  </w:style>
  <w:style w:type="character" w:styleId="21">
    <w:name w:val="annotation reference"/>
    <w:basedOn w:val="18"/>
    <w:qFormat/>
    <w:uiPriority w:val="0"/>
    <w:rPr>
      <w:sz w:val="21"/>
      <w:szCs w:val="21"/>
    </w:rPr>
  </w:style>
  <w:style w:type="character" w:customStyle="1" w:styleId="22">
    <w:name w:val="批注框文本 字符"/>
    <w:basedOn w:val="18"/>
    <w:link w:val="10"/>
    <w:qFormat/>
    <w:uiPriority w:val="0"/>
    <w:rPr>
      <w:kern w:val="2"/>
      <w:sz w:val="18"/>
      <w:szCs w:val="18"/>
    </w:rPr>
  </w:style>
  <w:style w:type="character" w:customStyle="1" w:styleId="23">
    <w:name w:val="标题 1 字符"/>
    <w:basedOn w:val="18"/>
    <w:link w:val="2"/>
    <w:qFormat/>
    <w:uiPriority w:val="9"/>
    <w:rPr>
      <w:b/>
      <w:bCs/>
      <w:kern w:val="44"/>
      <w:sz w:val="44"/>
      <w:szCs w:val="44"/>
    </w:rPr>
  </w:style>
  <w:style w:type="paragraph" w:styleId="24">
    <w:name w:val="List Paragraph"/>
    <w:basedOn w:val="1"/>
    <w:unhideWhenUsed/>
    <w:qFormat/>
    <w:uiPriority w:val="34"/>
    <w:pPr>
      <w:ind w:firstLine="420" w:firstLineChars="200"/>
    </w:p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福马正文"/>
    <w:basedOn w:val="1"/>
    <w:link w:val="27"/>
    <w:qFormat/>
    <w:uiPriority w:val="0"/>
    <w:pPr>
      <w:tabs>
        <w:tab w:val="center" w:pos="4320"/>
      </w:tabs>
      <w:spacing w:beforeLines="75" w:afterLines="75" w:line="300" w:lineRule="auto"/>
      <w:ind w:firstLine="440" w:firstLineChars="200"/>
    </w:pPr>
    <w:rPr>
      <w:rFonts w:ascii="宋体" w:hAnsi="宋体"/>
      <w:sz w:val="22"/>
    </w:rPr>
  </w:style>
  <w:style w:type="character" w:customStyle="1" w:styleId="27">
    <w:name w:val="福马正文 Char"/>
    <w:link w:val="26"/>
    <w:qFormat/>
    <w:uiPriority w:val="0"/>
    <w:rPr>
      <w:rFonts w:ascii="宋体" w:hAnsi="宋体"/>
      <w:kern w:val="2"/>
      <w:sz w:val="22"/>
      <w:szCs w:val="22"/>
    </w:rPr>
  </w:style>
  <w:style w:type="character" w:customStyle="1" w:styleId="28">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character" w:customStyle="1" w:styleId="29">
    <w:name w:val="批注文字 字符"/>
    <w:basedOn w:val="18"/>
    <w:link w:val="5"/>
    <w:qFormat/>
    <w:uiPriority w:val="0"/>
    <w:rPr>
      <w:kern w:val="2"/>
      <w:sz w:val="21"/>
      <w:szCs w:val="22"/>
    </w:rPr>
  </w:style>
  <w:style w:type="character" w:customStyle="1" w:styleId="30">
    <w:name w:val="批注主题 字符"/>
    <w:basedOn w:val="29"/>
    <w:link w:val="14"/>
    <w:qFormat/>
    <w:uiPriority w:val="0"/>
    <w:rPr>
      <w:b/>
      <w:bCs/>
      <w:kern w:val="2"/>
      <w:sz w:val="21"/>
      <w:szCs w:val="22"/>
    </w:rPr>
  </w:style>
  <w:style w:type="character" w:customStyle="1" w:styleId="31">
    <w:name w:val="文档结构图 字符"/>
    <w:basedOn w:val="18"/>
    <w:link w:val="4"/>
    <w:qFormat/>
    <w:uiPriority w:val="0"/>
    <w:rPr>
      <w:rFonts w:ascii="宋体"/>
      <w:kern w:val="2"/>
      <w:sz w:val="18"/>
      <w:szCs w:val="18"/>
    </w:rPr>
  </w:style>
  <w:style w:type="character" w:customStyle="1" w:styleId="32">
    <w:name w:val="日期 字符"/>
    <w:basedOn w:val="18"/>
    <w:link w:val="9"/>
    <w:qFormat/>
    <w:uiPriority w:val="0"/>
    <w:rPr>
      <w:kern w:val="2"/>
      <w:sz w:val="21"/>
      <w:szCs w:val="22"/>
    </w:rPr>
  </w:style>
  <w:style w:type="paragraph" w:customStyle="1" w:styleId="33">
    <w:name w:val="Style1"/>
    <w:basedOn w:val="7"/>
    <w:qFormat/>
    <w:uiPriority w:val="0"/>
    <w:pPr>
      <w:widowControl/>
      <w:spacing w:after="0" w:line="360" w:lineRule="exact"/>
      <w:ind w:left="0" w:leftChars="0"/>
    </w:pPr>
    <w:rPr>
      <w:rFonts w:ascii="宋体" w:hAnsi="宋体"/>
      <w:kern w:val="0"/>
      <w:sz w:val="24"/>
      <w:szCs w:val="24"/>
    </w:rPr>
  </w:style>
  <w:style w:type="character" w:customStyle="1" w:styleId="34">
    <w:name w:val="正文文本缩进 字符"/>
    <w:basedOn w:val="18"/>
    <w:link w:val="7"/>
    <w:semiHidden/>
    <w:qFormat/>
    <w:uiPriority w:val="0"/>
    <w:rPr>
      <w:kern w:val="2"/>
      <w:sz w:val="21"/>
      <w:szCs w:val="22"/>
    </w:rPr>
  </w:style>
  <w:style w:type="character" w:customStyle="1" w:styleId="35">
    <w:name w:val="纯文本 字符"/>
    <w:basedOn w:val="18"/>
    <w:link w:val="8"/>
    <w:qFormat/>
    <w:uiPriority w:val="99"/>
    <w:rPr>
      <w:rFonts w:ascii="宋体" w:hAnsi="Courier New"/>
      <w:kern w:val="2"/>
      <w:sz w:val="21"/>
      <w:szCs w:val="21"/>
    </w:rPr>
  </w:style>
  <w:style w:type="character" w:customStyle="1" w:styleId="36">
    <w:name w:val="页眉 字符"/>
    <w:basedOn w:val="18"/>
    <w:link w:val="12"/>
    <w:qFormat/>
    <w:uiPriority w:val="99"/>
    <w:rPr>
      <w:kern w:val="2"/>
      <w:sz w:val="18"/>
      <w:szCs w:val="22"/>
    </w:rPr>
  </w:style>
  <w:style w:type="character" w:customStyle="1" w:styleId="37">
    <w:name w:val="页脚 字符"/>
    <w:basedOn w:val="18"/>
    <w:link w:val="11"/>
    <w:qFormat/>
    <w:uiPriority w:val="99"/>
    <w:rPr>
      <w:kern w:val="2"/>
      <w:sz w:val="18"/>
      <w:szCs w:val="22"/>
    </w:rPr>
  </w:style>
  <w:style w:type="paragraph" w:customStyle="1" w:styleId="38">
    <w:name w:val="western"/>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9">
    <w:name w:val="标题 2 字符"/>
    <w:basedOn w:val="18"/>
    <w:link w:val="3"/>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1642</Words>
  <Characters>9364</Characters>
  <Lines>78</Lines>
  <Paragraphs>21</Paragraphs>
  <TotalTime>2059</TotalTime>
  <ScaleCrop>false</ScaleCrop>
  <LinksUpToDate>false</LinksUpToDate>
  <CharactersWithSpaces>10985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2022-04-25T10:35:00Z</dcterms:created>
  <dc:creator>刘嫄嫄</dc:creator>
  <cp:lastModifiedBy>pc29</cp:lastModifiedBy>
  <cp:lastPrinted>2022-05-16T17:29:00Z</cp:lastPrinted>
  <dcterms:modified xsi:type="dcterms:W3CDTF">2022-05-17T08:27:34Z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FF82BBB0B1A24E4F88DF6290F5877E0C</vt:lpwstr>
  </property>
</Properties>
</file>