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w w:val="120"/>
          <w:sz w:val="52"/>
          <w:szCs w:val="52"/>
        </w:rPr>
      </w:pPr>
      <w:bookmarkStart w:id="35" w:name="_GoBack"/>
      <w:bookmarkEnd w:id="35"/>
      <w:r>
        <w:rPr>
          <w:w w:val="120"/>
          <w:sz w:val="52"/>
          <w:szCs w:val="52"/>
        </w:rPr>
        <w:t>湖北省省级政府采购</w:t>
      </w:r>
    </w:p>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r>
        <w:rPr>
          <w:rFonts w:hint="eastAsia"/>
          <w:bCs/>
          <w:sz w:val="32"/>
          <w:szCs w:val="32"/>
        </w:rPr>
        <w:t>EZC-2022-ZX0104</w:t>
      </w:r>
    </w:p>
    <w:p>
      <w:pPr>
        <w:spacing w:line="480" w:lineRule="auto"/>
        <w:ind w:left="2558" w:leftChars="342" w:hanging="1600" w:hangingChars="500"/>
        <w:rPr>
          <w:bCs/>
          <w:sz w:val="32"/>
          <w:szCs w:val="32"/>
        </w:rPr>
      </w:pPr>
      <w:r>
        <w:rPr>
          <w:bCs/>
          <w:sz w:val="32"/>
          <w:szCs w:val="32"/>
        </w:rPr>
        <w:t>项目名称：</w:t>
      </w:r>
      <w:r>
        <w:rPr>
          <w:rFonts w:hint="eastAsia"/>
          <w:bCs/>
          <w:sz w:val="32"/>
          <w:szCs w:val="32"/>
        </w:rPr>
        <w:t>湖北省知识产权公共服务一张网（一期）项目</w:t>
      </w:r>
    </w:p>
    <w:p>
      <w:pPr>
        <w:spacing w:line="480" w:lineRule="auto"/>
        <w:ind w:left="2398" w:leftChars="342" w:hanging="1440" w:hangingChars="450"/>
        <w:rPr>
          <w:bCs/>
          <w:sz w:val="32"/>
          <w:szCs w:val="32"/>
        </w:rPr>
      </w:pPr>
      <w:r>
        <w:rPr>
          <w:rFonts w:hint="eastAsia"/>
          <w:bCs/>
          <w:sz w:val="32"/>
          <w:szCs w:val="32"/>
        </w:rPr>
        <w:t>谈判</w:t>
      </w:r>
      <w:r>
        <w:rPr>
          <w:bCs/>
          <w:sz w:val="32"/>
          <w:szCs w:val="32"/>
        </w:rPr>
        <w:t>内容：</w:t>
      </w:r>
      <w:r>
        <w:rPr>
          <w:rFonts w:hint="eastAsia"/>
          <w:bCs/>
          <w:sz w:val="32"/>
          <w:szCs w:val="32"/>
        </w:rPr>
        <w:t>知识产权公共服务一张网开发</w:t>
      </w:r>
    </w:p>
    <w:p>
      <w:pPr>
        <w:tabs>
          <w:tab w:val="left" w:pos="2625"/>
        </w:tabs>
        <w:spacing w:line="520" w:lineRule="exact"/>
        <w:jc w:val="center"/>
        <w:rPr>
          <w:bCs/>
          <w:sz w:val="32"/>
        </w:rPr>
      </w:pPr>
    </w:p>
    <w:p>
      <w:pPr>
        <w:tabs>
          <w:tab w:val="left" w:pos="2625"/>
        </w:tabs>
        <w:spacing w:line="520" w:lineRule="exact"/>
        <w:rPr>
          <w:sz w:val="36"/>
        </w:rPr>
      </w:pPr>
    </w:p>
    <w:p>
      <w:pPr>
        <w:tabs>
          <w:tab w:val="left" w:pos="2625"/>
        </w:tabs>
        <w:spacing w:line="520" w:lineRule="exact"/>
        <w:jc w:val="center"/>
        <w:rPr>
          <w:sz w:val="36"/>
        </w:rPr>
      </w:pPr>
    </w:p>
    <w:p>
      <w:pPr>
        <w:spacing w:line="520" w:lineRule="exact"/>
        <w:jc w:val="center"/>
        <w:rPr>
          <w:bCs/>
          <w:sz w:val="32"/>
          <w:szCs w:val="32"/>
        </w:rPr>
      </w:pPr>
      <w:r>
        <w:rPr>
          <w:rFonts w:hint="eastAsia"/>
          <w:bCs/>
          <w:sz w:val="32"/>
          <w:szCs w:val="32"/>
        </w:rPr>
        <w:t>湖北省公共资源交易中心（湖北省政府采购中心）</w:t>
      </w:r>
    </w:p>
    <w:p>
      <w:pPr>
        <w:spacing w:line="520" w:lineRule="exact"/>
        <w:jc w:val="center"/>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sz w:val="32"/>
          <w:szCs w:val="32"/>
        </w:rPr>
        <w:t>2022</w:t>
      </w:r>
      <w:r>
        <w:rPr>
          <w:sz w:val="32"/>
          <w:szCs w:val="32"/>
        </w:rPr>
        <w:t>年</w:t>
      </w:r>
      <w:r>
        <w:rPr>
          <w:rFonts w:hint="eastAsia"/>
          <w:sz w:val="32"/>
          <w:szCs w:val="32"/>
        </w:rPr>
        <w:t>8</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供应商</w:t>
      </w:r>
      <w:r>
        <w:t>须知</w:t>
      </w:r>
    </w:p>
    <w:p>
      <w:pPr>
        <w:spacing w:line="480" w:lineRule="auto"/>
      </w:pPr>
      <w:r>
        <w:t>第三章</w:t>
      </w:r>
      <w:r>
        <w:rPr>
          <w:rFonts w:hint="eastAsia"/>
        </w:rPr>
        <w:t xml:space="preserve">  </w:t>
      </w:r>
      <w:r>
        <w:t>采购货物（服务）技术规格、参数及要求</w:t>
      </w:r>
    </w:p>
    <w:p>
      <w:pPr>
        <w:spacing w:line="480" w:lineRule="auto"/>
      </w:pPr>
      <w:r>
        <w:rPr>
          <w:rFonts w:hint="eastAsia"/>
        </w:rPr>
        <w:t>第四章  评审办法及评审标准</w:t>
      </w:r>
    </w:p>
    <w:p>
      <w:pPr>
        <w:spacing w:line="480" w:lineRule="auto"/>
      </w:pPr>
      <w:r>
        <w:t>第</w:t>
      </w:r>
      <w:r>
        <w:rPr>
          <w:rFonts w:hint="eastAsia"/>
        </w:rPr>
        <w:t>五</w:t>
      </w:r>
      <w:r>
        <w:t>章</w:t>
      </w:r>
      <w:r>
        <w:rPr>
          <w:rFonts w:hint="eastAsia"/>
        </w:rPr>
        <w:t xml:space="preserve">  </w:t>
      </w:r>
      <w:r>
        <w:t>合同书（格式）</w:t>
      </w:r>
    </w:p>
    <w:p>
      <w:pPr>
        <w:spacing w:line="480" w:lineRule="auto"/>
      </w:pPr>
      <w:r>
        <w:t>第</w:t>
      </w:r>
      <w:r>
        <w:rPr>
          <w:rFonts w:hint="eastAsia"/>
        </w:rPr>
        <w:t>六</w:t>
      </w:r>
      <w:r>
        <w:t>章</w:t>
      </w:r>
      <w:r>
        <w:rPr>
          <w:rFonts w:hint="eastAsia"/>
        </w:rPr>
        <w:t xml:space="preserve">  </w:t>
      </w:r>
      <w:r>
        <w:t>响应文件</w:t>
      </w:r>
      <w:r>
        <w:rPr>
          <w:rFonts w:hint="eastAsia"/>
        </w:rPr>
        <w:t>（</w:t>
      </w:r>
      <w:r>
        <w:t>格式</w:t>
      </w:r>
      <w:r>
        <w:rPr>
          <w:rFonts w:hint="eastAsia"/>
        </w:rPr>
        <w:t>）</w:t>
      </w:r>
    </w:p>
    <w:p>
      <w:pPr>
        <w:widowControl/>
        <w:jc w:val="left"/>
      </w:pPr>
      <w:r>
        <w:br w:type="page"/>
      </w:r>
    </w:p>
    <w:p>
      <w:pPr>
        <w:widowControl/>
        <w:jc w:val="left"/>
        <w:rPr>
          <w:szCs w:val="28"/>
        </w:rPr>
      </w:pPr>
      <w:r>
        <w:rPr>
          <w:rFonts w:hint="eastAsia"/>
          <w:szCs w:val="28"/>
        </w:rPr>
        <w:t>附件：</w:t>
      </w:r>
    </w:p>
    <w:p>
      <w:pPr>
        <w:jc w:val="center"/>
        <w:rPr>
          <w:szCs w:val="28"/>
        </w:rPr>
      </w:pPr>
      <w:r>
        <w:rPr>
          <w:rFonts w:hint="eastAsia"/>
          <w:szCs w:val="28"/>
        </w:rPr>
        <w:t>湖北省公共资源交易中心（湖北省政府采购中心）地理定位图</w:t>
      </w:r>
    </w:p>
    <w:p>
      <w:r>
        <w:drawing>
          <wp:inline distT="0" distB="0" distL="0" distR="0">
            <wp:extent cx="5273040" cy="40462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040" cy="4046220"/>
                    </a:xfrm>
                    <a:prstGeom prst="rect">
                      <a:avLst/>
                    </a:prstGeom>
                    <a:noFill/>
                    <a:ln>
                      <a:noFill/>
                    </a:ln>
                  </pic:spPr>
                </pic:pic>
              </a:graphicData>
            </a:graphic>
          </wp:inline>
        </w:drawing>
      </w:r>
    </w:p>
    <w:p>
      <w:pPr>
        <w:widowControl/>
        <w:jc w:val="left"/>
        <w:rPr>
          <w:rFonts w:cs="宋体"/>
          <w:kern w:val="0"/>
          <w:sz w:val="24"/>
        </w:rPr>
        <w:sectPr>
          <w:headerReference r:id="rId5" w:type="default"/>
          <w:pgSz w:w="11906" w:h="16838"/>
          <w:pgMar w:top="1440" w:right="1800" w:bottom="1440" w:left="1800" w:header="851" w:footer="992" w:gutter="0"/>
          <w:cols w:space="425" w:num="1"/>
          <w:docGrid w:type="lines" w:linePitch="312" w:charSpace="0"/>
        </w:sectPr>
      </w:pPr>
      <w:r>
        <w:rPr>
          <w:rFonts w:hint="eastAsia" w:cs="宋体"/>
          <w:kern w:val="0"/>
          <w:sz w:val="24"/>
        </w:rPr>
        <w:t>地址：湖北省武汉市武昌区中北路252号（普提金商务中心大楼A座7-15楼），武汉地铁4、8号线岳家嘴站G出口。</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lang w:bidi="ar-EG"/>
        </w:rPr>
      </w:pPr>
    </w:p>
    <w:p>
      <w:pPr>
        <w:spacing w:line="500" w:lineRule="exact"/>
        <w:rPr>
          <w:bCs/>
          <w:sz w:val="24"/>
          <w:lang w:bidi="ar-EG"/>
        </w:rPr>
      </w:pPr>
      <w:r>
        <w:rPr>
          <w:bCs/>
          <w:sz w:val="24"/>
          <w:lang w:bidi="ar-EG"/>
        </w:rPr>
        <w:t>（</w:t>
      </w:r>
      <w:r>
        <w:rPr>
          <w:rFonts w:hint="eastAsia"/>
          <w:sz w:val="24"/>
          <w:u w:val="single"/>
        </w:rPr>
        <w:t>受</w:t>
      </w:r>
      <w:r>
        <w:rPr>
          <w:sz w:val="24"/>
          <w:u w:val="single"/>
        </w:rPr>
        <w:t>邀请供应商</w:t>
      </w:r>
      <w:r>
        <w:rPr>
          <w:rFonts w:hint="eastAsia"/>
          <w:sz w:val="24"/>
          <w:u w:val="single"/>
        </w:rPr>
        <w:t>名称</w:t>
      </w:r>
      <w:r>
        <w:rPr>
          <w:bCs/>
          <w:sz w:val="24"/>
          <w:lang w:bidi="ar-EG"/>
        </w:rPr>
        <w:t>）：</w:t>
      </w:r>
    </w:p>
    <w:p>
      <w:pPr>
        <w:spacing w:line="440" w:lineRule="exact"/>
        <w:ind w:firstLine="480" w:firstLineChars="200"/>
        <w:rPr>
          <w:bCs/>
          <w:sz w:val="24"/>
          <w:lang w:bidi="ar-EG"/>
        </w:rPr>
      </w:pPr>
      <w:r>
        <w:rPr>
          <w:bCs/>
          <w:sz w:val="24"/>
          <w:lang w:bidi="ar-EG"/>
        </w:rPr>
        <w:t>谈判小组确定你公司为</w:t>
      </w:r>
      <w:r>
        <w:rPr>
          <w:rFonts w:hint="eastAsia" w:ascii="宋体" w:hAnsi="宋体"/>
          <w:sz w:val="24"/>
        </w:rPr>
        <w:t>湖北省知识产权公共服务一张网（一期）</w:t>
      </w:r>
      <w:r>
        <w:rPr>
          <w:rFonts w:hint="eastAsia"/>
          <w:bCs/>
          <w:sz w:val="24"/>
          <w:lang w:bidi="ar-EG"/>
        </w:rPr>
        <w:t>项目（采购计划备案号420000-2022-</w:t>
      </w:r>
      <w:r>
        <w:rPr>
          <w:rFonts w:ascii="宋体" w:hAnsi="宋体"/>
          <w:sz w:val="24"/>
        </w:rPr>
        <w:t>08731</w:t>
      </w:r>
      <w:r>
        <w:rPr>
          <w:rFonts w:hint="eastAsia"/>
          <w:bCs/>
          <w:sz w:val="24"/>
          <w:lang w:bidi="ar-EG"/>
        </w:rPr>
        <w:t>）</w:t>
      </w:r>
      <w:r>
        <w:rPr>
          <w:bCs/>
          <w:sz w:val="24"/>
          <w:lang w:bidi="ar-EG"/>
        </w:rPr>
        <w:t>的供应商，现邀请你公司参加谈判。</w:t>
      </w:r>
    </w:p>
    <w:p>
      <w:pPr>
        <w:spacing w:line="440" w:lineRule="exact"/>
        <w:ind w:firstLine="480" w:firstLineChars="200"/>
        <w:rPr>
          <w:bCs/>
          <w:sz w:val="24"/>
          <w:lang w:bidi="ar-EG"/>
        </w:rPr>
      </w:pPr>
      <w:r>
        <w:rPr>
          <w:bCs/>
          <w:sz w:val="24"/>
          <w:lang w:bidi="ar-EG"/>
        </w:rPr>
        <w:t>一、项目编号：</w:t>
      </w:r>
      <w:r>
        <w:rPr>
          <w:rFonts w:hint="eastAsia" w:ascii="宋体" w:hAnsi="宋体"/>
          <w:sz w:val="24"/>
        </w:rPr>
        <w:t>EZC-2022-ZX0104</w:t>
      </w:r>
    </w:p>
    <w:p>
      <w:pPr>
        <w:spacing w:line="440" w:lineRule="exact"/>
        <w:ind w:left="2162" w:leftChars="172" w:hanging="1680" w:hangingChars="700"/>
        <w:rPr>
          <w:bCs/>
          <w:sz w:val="24"/>
          <w:u w:val="single"/>
          <w:lang w:bidi="ar-EG"/>
        </w:rPr>
      </w:pPr>
      <w:r>
        <w:rPr>
          <w:bCs/>
          <w:sz w:val="24"/>
          <w:lang w:bidi="ar-EG"/>
        </w:rPr>
        <w:t>二、项目名称：</w:t>
      </w:r>
      <w:r>
        <w:rPr>
          <w:rFonts w:hint="eastAsia" w:ascii="宋体" w:hAnsi="宋体"/>
          <w:sz w:val="24"/>
        </w:rPr>
        <w:t>湖北省知识产权公共服务一张网（一期）</w:t>
      </w:r>
      <w:r>
        <w:rPr>
          <w:rFonts w:hint="eastAsia"/>
          <w:bCs/>
          <w:sz w:val="24"/>
          <w:lang w:bidi="ar-EG"/>
        </w:rPr>
        <w:t>项目</w:t>
      </w:r>
    </w:p>
    <w:p>
      <w:pPr>
        <w:spacing w:line="440" w:lineRule="exact"/>
        <w:ind w:firstLine="480" w:firstLineChars="200"/>
        <w:rPr>
          <w:rFonts w:ascii="宋体" w:hAnsi="宋体"/>
          <w:sz w:val="24"/>
        </w:rPr>
      </w:pPr>
      <w:r>
        <w:rPr>
          <w:bCs/>
          <w:sz w:val="24"/>
          <w:lang w:bidi="ar-EG"/>
        </w:rPr>
        <w:t>三、谈判内容：</w:t>
      </w:r>
      <w:r>
        <w:rPr>
          <w:rFonts w:hint="eastAsia" w:ascii="宋体" w:hAnsi="宋体"/>
          <w:sz w:val="24"/>
        </w:rPr>
        <w:t>知识产权公共服务一张网开发</w:t>
      </w:r>
    </w:p>
    <w:p>
      <w:pPr>
        <w:spacing w:line="440" w:lineRule="exact"/>
        <w:ind w:firstLine="480" w:firstLineChars="200"/>
        <w:rPr>
          <w:bCs/>
          <w:sz w:val="24"/>
          <w:lang w:bidi="ar-EG"/>
        </w:rPr>
      </w:pPr>
      <w:r>
        <w:rPr>
          <w:bCs/>
          <w:sz w:val="24"/>
          <w:lang w:bidi="ar-EG"/>
        </w:rPr>
        <w:t>四、采购预算：</w:t>
      </w:r>
      <w:r>
        <w:rPr>
          <w:rFonts w:ascii="宋体" w:hAnsi="宋体" w:cs="宋体"/>
          <w:kern w:val="0"/>
          <w:sz w:val="24"/>
        </w:rPr>
        <w:t>人民币</w:t>
      </w:r>
      <w:r>
        <w:rPr>
          <w:rFonts w:ascii="宋体" w:hAnsi="宋体"/>
          <w:sz w:val="24"/>
        </w:rPr>
        <w:t>92.2</w:t>
      </w:r>
      <w:r>
        <w:rPr>
          <w:rFonts w:hint="eastAsia"/>
          <w:bCs/>
          <w:sz w:val="24"/>
          <w:lang w:bidi="ar-EG"/>
        </w:rPr>
        <w:t>万元</w:t>
      </w:r>
      <w:r>
        <w:rPr>
          <w:rFonts w:ascii="宋体" w:hAnsi="宋体" w:cs="宋体"/>
          <w:kern w:val="0"/>
          <w:sz w:val="24"/>
        </w:rPr>
        <w:t>；最高限价：人民币</w:t>
      </w:r>
      <w:r>
        <w:rPr>
          <w:rFonts w:ascii="宋体" w:hAnsi="宋体"/>
          <w:sz w:val="24"/>
        </w:rPr>
        <w:t>92.2</w:t>
      </w:r>
      <w:r>
        <w:rPr>
          <w:rFonts w:ascii="宋体" w:hAnsi="宋体" w:cs="宋体"/>
          <w:kern w:val="0"/>
          <w:sz w:val="24"/>
        </w:rPr>
        <w:t>万元</w:t>
      </w:r>
      <w:r>
        <w:rPr>
          <w:rFonts w:hint="eastAsia" w:ascii="宋体" w:hAnsi="宋体" w:cs="宋体"/>
          <w:kern w:val="0"/>
          <w:sz w:val="24"/>
        </w:rPr>
        <w:t>。</w:t>
      </w:r>
    </w:p>
    <w:p>
      <w:pPr>
        <w:spacing w:line="440" w:lineRule="exact"/>
        <w:ind w:firstLine="480" w:firstLineChars="200"/>
        <w:rPr>
          <w:sz w:val="24"/>
        </w:rPr>
      </w:pPr>
      <w:r>
        <w:rPr>
          <w:bCs/>
          <w:sz w:val="24"/>
          <w:lang w:bidi="ar-EG"/>
        </w:rPr>
        <w:t>五、供应商资格条件</w:t>
      </w:r>
      <w:r>
        <w:rPr>
          <w:rFonts w:hint="eastAsia" w:cs="宋体"/>
          <w:sz w:val="24"/>
        </w:rPr>
        <w:t>：详见《供应商须知前附表》。</w:t>
      </w:r>
    </w:p>
    <w:p>
      <w:pPr>
        <w:spacing w:line="440" w:lineRule="exact"/>
        <w:ind w:firstLine="480" w:firstLineChars="200"/>
        <w:rPr>
          <w:sz w:val="24"/>
        </w:rPr>
      </w:pPr>
      <w:r>
        <w:rPr>
          <w:rFonts w:hint="eastAsia"/>
          <w:sz w:val="24"/>
        </w:rPr>
        <w:t>六、落实政府采购政策：</w:t>
      </w:r>
      <w:r>
        <w:rPr>
          <w:rFonts w:hint="eastAsia" w:cs="宋体"/>
          <w:sz w:val="24"/>
        </w:rPr>
        <w:t>详见《供应商须知前附表》。</w:t>
      </w:r>
    </w:p>
    <w:p>
      <w:pPr>
        <w:spacing w:line="440" w:lineRule="exact"/>
        <w:ind w:firstLine="480"/>
        <w:rPr>
          <w:sz w:val="24"/>
        </w:rPr>
      </w:pPr>
      <w:r>
        <w:rPr>
          <w:rFonts w:hint="eastAsia" w:cs="宋体"/>
          <w:sz w:val="24"/>
        </w:rPr>
        <w:t>七、竞争性谈判文件的获得：详见《供应商须知前附表》。</w:t>
      </w:r>
    </w:p>
    <w:p>
      <w:pPr>
        <w:spacing w:line="440" w:lineRule="exact"/>
        <w:ind w:firstLine="480"/>
        <w:rPr>
          <w:sz w:val="24"/>
          <w:lang w:val="hr-HR"/>
        </w:rPr>
      </w:pPr>
      <w:r>
        <w:rPr>
          <w:rFonts w:hint="eastAsia" w:cs="宋体"/>
          <w:sz w:val="24"/>
          <w:lang w:val="hr-HR"/>
        </w:rPr>
        <w:t>八、递交响应文件截止时间和谈判时间：</w:t>
      </w:r>
      <w:r>
        <w:rPr>
          <w:rFonts w:hint="eastAsia" w:cs="宋体"/>
          <w:sz w:val="24"/>
        </w:rPr>
        <w:t>详见《供应商须知前附表》。</w:t>
      </w:r>
    </w:p>
    <w:p>
      <w:pPr>
        <w:spacing w:line="440" w:lineRule="exact"/>
        <w:ind w:firstLine="480"/>
        <w:rPr>
          <w:sz w:val="24"/>
          <w:lang w:val="hr-HR"/>
        </w:rPr>
      </w:pPr>
      <w:r>
        <w:rPr>
          <w:rFonts w:hint="eastAsia" w:cs="宋体"/>
          <w:sz w:val="24"/>
          <w:lang w:val="hr-HR"/>
        </w:rPr>
        <w:t>九、</w:t>
      </w:r>
      <w:r>
        <w:rPr>
          <w:sz w:val="24"/>
        </w:rPr>
        <w:t>响应文件送达地点和</w:t>
      </w:r>
      <w:r>
        <w:rPr>
          <w:rFonts w:hint="eastAsia"/>
          <w:sz w:val="24"/>
        </w:rPr>
        <w:t>谈判</w:t>
      </w:r>
      <w:r>
        <w:rPr>
          <w:sz w:val="24"/>
        </w:rPr>
        <w:t>地点：</w:t>
      </w:r>
      <w:r>
        <w:rPr>
          <w:rFonts w:hint="eastAsia" w:cs="宋体"/>
          <w:sz w:val="24"/>
        </w:rPr>
        <w:t>详见《供应商须知前附表》。</w:t>
      </w:r>
    </w:p>
    <w:p>
      <w:pPr>
        <w:spacing w:line="440" w:lineRule="exact"/>
        <w:ind w:firstLine="480" w:firstLineChars="200"/>
        <w:rPr>
          <w:sz w:val="24"/>
          <w:lang w:val="hr-HR" w:bidi="ar-EG"/>
        </w:rPr>
      </w:pPr>
      <w:r>
        <w:rPr>
          <w:rFonts w:hint="eastAsia" w:cs="宋体"/>
          <w:sz w:val="24"/>
        </w:rPr>
        <w:t>十、联系方式：详见《供应商须知前附表》。</w:t>
      </w:r>
    </w:p>
    <w:p>
      <w:pPr>
        <w:spacing w:line="440" w:lineRule="exact"/>
        <w:ind w:firstLine="480" w:firstLineChars="200"/>
        <w:outlineLvl w:val="0"/>
        <w:rPr>
          <w:sz w:val="24"/>
        </w:rPr>
      </w:pPr>
    </w:p>
    <w:p>
      <w:pPr>
        <w:spacing w:line="440" w:lineRule="exact"/>
        <w:ind w:firstLine="480" w:firstLineChars="200"/>
        <w:outlineLvl w:val="0"/>
        <w:rPr>
          <w:sz w:val="24"/>
        </w:rPr>
      </w:pPr>
    </w:p>
    <w:p>
      <w:pPr>
        <w:spacing w:line="440" w:lineRule="exact"/>
        <w:jc w:val="right"/>
        <w:rPr>
          <w:sz w:val="24"/>
        </w:rPr>
      </w:pPr>
      <w:r>
        <w:rPr>
          <w:rFonts w:ascii="宋体" w:hAnsi="宋体" w:cs="宋体"/>
          <w:kern w:val="0"/>
          <w:sz w:val="24"/>
        </w:rPr>
        <w:t>湖北省公共资源交易中心（湖北省政府采购中心）</w:t>
      </w:r>
    </w:p>
    <w:p>
      <w:pPr>
        <w:spacing w:line="440" w:lineRule="exact"/>
        <w:ind w:firstLine="4320" w:firstLineChars="1800"/>
        <w:outlineLvl w:val="0"/>
        <w:rPr>
          <w:sz w:val="24"/>
        </w:rPr>
      </w:pPr>
      <w:r>
        <w:rPr>
          <w:sz w:val="24"/>
        </w:rPr>
        <w:t>202</w:t>
      </w:r>
      <w:r>
        <w:rPr>
          <w:rFonts w:hint="eastAsia"/>
          <w:sz w:val="24"/>
        </w:rPr>
        <w:t>2</w:t>
      </w:r>
      <w:r>
        <w:rPr>
          <w:sz w:val="24"/>
        </w:rPr>
        <w:t>年</w:t>
      </w:r>
      <w:r>
        <w:rPr>
          <w:rFonts w:hint="eastAsia"/>
          <w:bCs/>
          <w:sz w:val="24"/>
          <w:lang w:bidi="ar-EG"/>
        </w:rPr>
        <w:t>8</w:t>
      </w:r>
      <w:r>
        <w:rPr>
          <w:sz w:val="24"/>
        </w:rPr>
        <w:t>月</w:t>
      </w:r>
      <w:r>
        <w:rPr>
          <w:rFonts w:hint="eastAsia"/>
          <w:bCs/>
          <w:sz w:val="24"/>
          <w:lang w:bidi="ar-EG"/>
        </w:rPr>
        <w:t>24</w:t>
      </w:r>
      <w:r>
        <w:rPr>
          <w:sz w:val="24"/>
        </w:rPr>
        <w:t>日</w:t>
      </w: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adjustRightInd w:val="0"/>
        <w:snapToGrid w:val="0"/>
        <w:ind w:left="-145" w:leftChars="-52" w:right="-196" w:rightChars="-70" w:firstLine="1"/>
        <w:jc w:val="center"/>
        <w:outlineLvl w:val="0"/>
        <w:rPr>
          <w:b/>
          <w:sz w:val="36"/>
          <w:szCs w:val="36"/>
          <w:lang w:val="hr-HR" w:bidi="ar-EG"/>
        </w:rPr>
      </w:pPr>
    </w:p>
    <w:p>
      <w:pPr>
        <w:pStyle w:val="2"/>
        <w:rPr>
          <w:lang w:val="hr-HR" w:bidi="ar-EG"/>
        </w:rPr>
      </w:pPr>
    </w:p>
    <w:p>
      <w:pPr>
        <w:pStyle w:val="2"/>
        <w:rPr>
          <w:lang w:val="hr-HR" w:bidi="ar-EG"/>
        </w:rPr>
      </w:pPr>
    </w:p>
    <w:p>
      <w:pPr>
        <w:widowControl/>
        <w:jc w:val="left"/>
        <w:rPr>
          <w:b/>
          <w:sz w:val="36"/>
          <w:szCs w:val="36"/>
          <w:lang w:val="hr-HR" w:bidi="ar-EG"/>
        </w:rPr>
      </w:pPr>
    </w:p>
    <w:p>
      <w:pPr>
        <w:adjustRightInd w:val="0"/>
        <w:snapToGrid w:val="0"/>
        <w:ind w:left="-145" w:leftChars="-52" w:right="-196" w:rightChars="-70" w:firstLine="1"/>
        <w:jc w:val="center"/>
        <w:outlineLvl w:val="0"/>
        <w:rPr>
          <w:b/>
          <w:bCs/>
          <w:sz w:val="36"/>
          <w:szCs w:val="36"/>
        </w:rPr>
      </w:pPr>
      <w:r>
        <w:rPr>
          <w:b/>
          <w:sz w:val="36"/>
          <w:szCs w:val="36"/>
          <w:lang w:val="hr-HR" w:bidi="ar-EG"/>
        </w:rPr>
        <w:t>第二章</w:t>
      </w:r>
      <w:r>
        <w:rPr>
          <w:rFonts w:hint="eastAsia"/>
          <w:b/>
          <w:sz w:val="36"/>
          <w:szCs w:val="36"/>
          <w:lang w:val="hr-HR" w:bidi="ar-EG"/>
        </w:rPr>
        <w:t xml:space="preserve">  供应商</w:t>
      </w:r>
      <w:r>
        <w:rPr>
          <w:b/>
          <w:bCs/>
          <w:sz w:val="36"/>
          <w:szCs w:val="36"/>
        </w:rPr>
        <w:t>须知</w:t>
      </w:r>
    </w:p>
    <w:p>
      <w:pPr>
        <w:jc w:val="center"/>
        <w:rPr>
          <w:szCs w:val="28"/>
        </w:rPr>
      </w:pPr>
    </w:p>
    <w:p>
      <w:pPr>
        <w:jc w:val="center"/>
        <w:rPr>
          <w:szCs w:val="28"/>
        </w:rPr>
      </w:pPr>
      <w:r>
        <w:rPr>
          <w:rFonts w:hint="eastAsia"/>
          <w:szCs w:val="28"/>
        </w:rPr>
        <w:t>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c>
          <w:tcPr>
            <w:tcW w:w="816" w:type="dxa"/>
            <w:vAlign w:val="center"/>
          </w:tcPr>
          <w:p>
            <w:pPr>
              <w:rPr>
                <w:sz w:val="24"/>
              </w:rPr>
            </w:pPr>
            <w:r>
              <w:rPr>
                <w:rFonts w:hint="eastAsia"/>
                <w:sz w:val="24"/>
              </w:rPr>
              <w:t>条款号</w:t>
            </w:r>
          </w:p>
        </w:tc>
        <w:tc>
          <w:tcPr>
            <w:tcW w:w="1277" w:type="dxa"/>
            <w:vAlign w:val="center"/>
          </w:tcPr>
          <w:p>
            <w:pPr>
              <w:rPr>
                <w:sz w:val="24"/>
              </w:rPr>
            </w:pPr>
            <w:r>
              <w:rPr>
                <w:rFonts w:hint="eastAsia"/>
                <w:sz w:val="24"/>
              </w:rPr>
              <w:t>名称</w:t>
            </w:r>
          </w:p>
        </w:tc>
        <w:tc>
          <w:tcPr>
            <w:tcW w:w="6429" w:type="dxa"/>
            <w:vAlign w:val="center"/>
          </w:tcPr>
          <w:p>
            <w:pPr>
              <w:rPr>
                <w:sz w:val="24"/>
              </w:rPr>
            </w:pPr>
            <w:r>
              <w:rPr>
                <w:rFonts w:hint="eastAsia"/>
                <w:sz w:val="24"/>
              </w:rPr>
              <w:t>内容</w:t>
            </w:r>
          </w:p>
        </w:tc>
      </w:tr>
      <w:tr>
        <w:tc>
          <w:tcPr>
            <w:tcW w:w="816" w:type="dxa"/>
            <w:vMerge w:val="restart"/>
            <w:vAlign w:val="center"/>
          </w:tcPr>
          <w:p>
            <w:pPr>
              <w:rPr>
                <w:sz w:val="24"/>
              </w:rPr>
            </w:pPr>
            <w:r>
              <w:rPr>
                <w:sz w:val="24"/>
              </w:rPr>
              <w:t>1.1</w:t>
            </w:r>
          </w:p>
        </w:tc>
        <w:tc>
          <w:tcPr>
            <w:tcW w:w="1277" w:type="dxa"/>
            <w:vAlign w:val="center"/>
          </w:tcPr>
          <w:p>
            <w:pPr>
              <w:rPr>
                <w:sz w:val="24"/>
              </w:rPr>
            </w:pPr>
            <w:r>
              <w:rPr>
                <w:rFonts w:hint="eastAsia"/>
                <w:sz w:val="24"/>
              </w:rPr>
              <w:t>采购计划备案号</w:t>
            </w:r>
          </w:p>
        </w:tc>
        <w:tc>
          <w:tcPr>
            <w:tcW w:w="6429" w:type="dxa"/>
            <w:vAlign w:val="center"/>
          </w:tcPr>
          <w:p>
            <w:pPr>
              <w:rPr>
                <w:sz w:val="24"/>
              </w:rPr>
            </w:pPr>
            <w:r>
              <w:rPr>
                <w:rFonts w:hint="eastAsia"/>
                <w:sz w:val="24"/>
              </w:rPr>
              <w:t>420000-2022-</w:t>
            </w:r>
            <w:r>
              <w:rPr>
                <w:rFonts w:ascii="宋体" w:hAnsi="宋体"/>
                <w:sz w:val="24"/>
              </w:rPr>
              <w:t>08731</w:t>
            </w:r>
          </w:p>
        </w:tc>
      </w:tr>
      <w:tr>
        <w:tc>
          <w:tcPr>
            <w:tcW w:w="816" w:type="dxa"/>
            <w:vMerge w:val="continue"/>
            <w:vAlign w:val="center"/>
          </w:tcPr>
          <w:p>
            <w:pPr>
              <w:rPr>
                <w:sz w:val="24"/>
              </w:rPr>
            </w:pPr>
          </w:p>
        </w:tc>
        <w:tc>
          <w:tcPr>
            <w:tcW w:w="1277" w:type="dxa"/>
            <w:vAlign w:val="center"/>
          </w:tcPr>
          <w:p>
            <w:pPr>
              <w:rPr>
                <w:sz w:val="24"/>
              </w:rPr>
            </w:pPr>
            <w:r>
              <w:rPr>
                <w:rFonts w:hint="eastAsia"/>
                <w:sz w:val="24"/>
              </w:rPr>
              <w:t>项目名称</w:t>
            </w:r>
          </w:p>
        </w:tc>
        <w:tc>
          <w:tcPr>
            <w:tcW w:w="6429" w:type="dxa"/>
            <w:vAlign w:val="center"/>
          </w:tcPr>
          <w:p>
            <w:pPr>
              <w:rPr>
                <w:sz w:val="24"/>
              </w:rPr>
            </w:pPr>
            <w:r>
              <w:rPr>
                <w:rFonts w:hint="eastAsia" w:ascii="宋体" w:hAnsi="宋体"/>
                <w:sz w:val="24"/>
              </w:rPr>
              <w:t>湖北省知识产权公共服务一张网（一期）</w:t>
            </w:r>
            <w:r>
              <w:rPr>
                <w:rFonts w:hint="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rPr>
                <w:sz w:val="24"/>
              </w:rPr>
            </w:pPr>
          </w:p>
        </w:tc>
        <w:tc>
          <w:tcPr>
            <w:tcW w:w="1277" w:type="dxa"/>
            <w:vAlign w:val="center"/>
          </w:tcPr>
          <w:p>
            <w:pPr>
              <w:rPr>
                <w:sz w:val="24"/>
              </w:rPr>
            </w:pPr>
            <w:r>
              <w:rPr>
                <w:rFonts w:hint="eastAsia"/>
                <w:sz w:val="24"/>
              </w:rPr>
              <w:t>项目编号</w:t>
            </w:r>
          </w:p>
        </w:tc>
        <w:tc>
          <w:tcPr>
            <w:tcW w:w="6429" w:type="dxa"/>
            <w:vAlign w:val="center"/>
          </w:tcPr>
          <w:p>
            <w:pPr>
              <w:rPr>
                <w:sz w:val="24"/>
              </w:rPr>
            </w:pPr>
            <w:r>
              <w:rPr>
                <w:sz w:val="24"/>
              </w:rPr>
              <w:t>EZC-202</w:t>
            </w:r>
            <w:r>
              <w:rPr>
                <w:rFonts w:hint="eastAsia"/>
                <w:sz w:val="24"/>
              </w:rPr>
              <w:t>2</w:t>
            </w:r>
            <w:r>
              <w:rPr>
                <w:sz w:val="24"/>
              </w:rPr>
              <w:t>-ZX</w:t>
            </w:r>
            <w:r>
              <w:rPr>
                <w:rFonts w:hint="eastAsia" w:ascii="宋体" w:hAnsi="宋体"/>
                <w:sz w:val="24"/>
              </w:rPr>
              <w:t>0104</w:t>
            </w:r>
            <w:r>
              <w:rPr>
                <w:sz w:val="24"/>
              </w:rPr>
              <w:fldChar w:fldCharType="begin"/>
            </w:r>
            <w:r>
              <w:rPr>
                <w:sz w:val="24"/>
              </w:rPr>
              <w:instrText xml:space="preserve">&lt;MK&gt;pro.schemecode&lt;/MK&gt;</w:instrText>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rPr>
                <w:sz w:val="24"/>
              </w:rPr>
            </w:pPr>
          </w:p>
        </w:tc>
        <w:tc>
          <w:tcPr>
            <w:tcW w:w="1277" w:type="dxa"/>
            <w:vAlign w:val="center"/>
          </w:tcPr>
          <w:p>
            <w:pPr>
              <w:rPr>
                <w:sz w:val="24"/>
              </w:rPr>
            </w:pPr>
            <w:r>
              <w:rPr>
                <w:rFonts w:hint="eastAsia"/>
                <w:sz w:val="24"/>
              </w:rPr>
              <w:t>采购内容</w:t>
            </w:r>
          </w:p>
        </w:tc>
        <w:tc>
          <w:tcPr>
            <w:tcW w:w="6429" w:type="dxa"/>
            <w:vAlign w:val="center"/>
          </w:tcPr>
          <w:p>
            <w:pPr>
              <w:rPr>
                <w:sz w:val="24"/>
              </w:rPr>
            </w:pPr>
            <w:r>
              <w:rPr>
                <w:rFonts w:hint="eastAsia" w:ascii="宋体" w:hAnsi="宋体"/>
                <w:sz w:val="24"/>
              </w:rPr>
              <w:t>知识产权公共服务一张网开发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rPr>
                <w:sz w:val="24"/>
              </w:rPr>
            </w:pPr>
          </w:p>
        </w:tc>
        <w:tc>
          <w:tcPr>
            <w:tcW w:w="1277" w:type="dxa"/>
            <w:vAlign w:val="center"/>
          </w:tcPr>
          <w:p>
            <w:pPr>
              <w:rPr>
                <w:sz w:val="24"/>
              </w:rPr>
            </w:pPr>
            <w:r>
              <w:rPr>
                <w:rFonts w:hint="eastAsia"/>
                <w:sz w:val="24"/>
              </w:rPr>
              <w:t>采购预算</w:t>
            </w:r>
          </w:p>
        </w:tc>
        <w:tc>
          <w:tcPr>
            <w:tcW w:w="6429" w:type="dxa"/>
            <w:vAlign w:val="center"/>
          </w:tcPr>
          <w:p>
            <w:pPr>
              <w:rPr>
                <w:sz w:val="24"/>
              </w:rPr>
            </w:pPr>
            <w:r>
              <w:rPr>
                <w:rFonts w:ascii="宋体" w:hAnsi="宋体"/>
                <w:sz w:val="24"/>
              </w:rPr>
              <w:t>92.2</w:t>
            </w: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rFonts w:hint="eastAsia"/>
                <w:sz w:val="24"/>
              </w:rPr>
              <w:t>1.2</w:t>
            </w:r>
          </w:p>
        </w:tc>
        <w:tc>
          <w:tcPr>
            <w:tcW w:w="1277" w:type="dxa"/>
            <w:vAlign w:val="center"/>
          </w:tcPr>
          <w:p>
            <w:pPr>
              <w:rPr>
                <w:sz w:val="24"/>
              </w:rPr>
            </w:pPr>
            <w:r>
              <w:rPr>
                <w:rFonts w:hint="eastAsia"/>
                <w:sz w:val="24"/>
              </w:rPr>
              <w:t>操作模式</w:t>
            </w:r>
          </w:p>
        </w:tc>
        <w:tc>
          <w:tcPr>
            <w:tcW w:w="6429" w:type="dxa"/>
            <w:vAlign w:val="center"/>
          </w:tcPr>
          <w:p>
            <w:pPr>
              <w:rPr>
                <w:sz w:val="24"/>
              </w:rPr>
            </w:pPr>
            <w:r>
              <w:rPr>
                <w:rFonts w:hint="eastAsia"/>
                <w:sz w:val="24"/>
              </w:rPr>
              <w:t>在湖北省政府电子采购平台全流程电子化操作试运行期间，本项目实行全流程电子化操作，供应商应按照湖北省政府电子采购平台要求，熟悉并完成网上所有操作流程。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2.1</w:t>
            </w:r>
          </w:p>
        </w:tc>
        <w:tc>
          <w:tcPr>
            <w:tcW w:w="1277" w:type="dxa"/>
            <w:vAlign w:val="center"/>
          </w:tcPr>
          <w:p>
            <w:pPr>
              <w:rPr>
                <w:sz w:val="24"/>
              </w:rPr>
            </w:pPr>
            <w:r>
              <w:rPr>
                <w:rFonts w:hint="eastAsia"/>
                <w:sz w:val="24"/>
              </w:rPr>
              <w:t>政府采购监管部门</w:t>
            </w:r>
          </w:p>
        </w:tc>
        <w:tc>
          <w:tcPr>
            <w:tcW w:w="6429" w:type="dxa"/>
            <w:vAlign w:val="center"/>
          </w:tcPr>
          <w:p>
            <w:pPr>
              <w:rPr>
                <w:sz w:val="24"/>
              </w:rPr>
            </w:pPr>
            <w:r>
              <w:rPr>
                <w:rFonts w:hint="eastAsia"/>
                <w:sz w:val="24"/>
              </w:rPr>
              <w:t>湖北省财政厅政府采购管理处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2.2</w:t>
            </w:r>
          </w:p>
        </w:tc>
        <w:tc>
          <w:tcPr>
            <w:tcW w:w="1277" w:type="dxa"/>
            <w:vAlign w:val="center"/>
          </w:tcPr>
          <w:p>
            <w:pPr>
              <w:rPr>
                <w:sz w:val="24"/>
              </w:rPr>
            </w:pPr>
            <w:r>
              <w:rPr>
                <w:rFonts w:hint="eastAsia"/>
                <w:sz w:val="24"/>
              </w:rPr>
              <w:t>采购人</w:t>
            </w:r>
          </w:p>
        </w:tc>
        <w:tc>
          <w:tcPr>
            <w:tcW w:w="6429" w:type="dxa"/>
            <w:vAlign w:val="center"/>
          </w:tcPr>
          <w:p>
            <w:pPr>
              <w:spacing w:line="440" w:lineRule="exact"/>
              <w:rPr>
                <w:rFonts w:ascii="宋体" w:hAnsi="宋体"/>
                <w:sz w:val="24"/>
              </w:rPr>
            </w:pPr>
            <w:r>
              <w:rPr>
                <w:rFonts w:hint="eastAsia"/>
                <w:sz w:val="24"/>
              </w:rPr>
              <w:t>采</w:t>
            </w:r>
            <w:r>
              <w:rPr>
                <w:sz w:val="24"/>
              </w:rPr>
              <w:t xml:space="preserve"> </w:t>
            </w:r>
            <w:r>
              <w:rPr>
                <w:rFonts w:hint="eastAsia"/>
                <w:sz w:val="24"/>
              </w:rPr>
              <w:t>购</w:t>
            </w:r>
            <w:r>
              <w:rPr>
                <w:sz w:val="24"/>
              </w:rPr>
              <w:t xml:space="preserve"> </w:t>
            </w:r>
            <w:r>
              <w:rPr>
                <w:rFonts w:hint="eastAsia"/>
                <w:sz w:val="24"/>
              </w:rPr>
              <w:t>人：</w:t>
            </w:r>
            <w:r>
              <w:rPr>
                <w:rFonts w:hint="eastAsia" w:ascii="宋体" w:hAnsi="宋体"/>
                <w:sz w:val="24"/>
              </w:rPr>
              <w:t>湖北省知识产权局</w:t>
            </w:r>
          </w:p>
          <w:p>
            <w:pPr>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r>
              <w:rPr>
                <w:rFonts w:hint="eastAsia" w:ascii="宋体" w:hAnsi="宋体"/>
                <w:sz w:val="24"/>
              </w:rPr>
              <w:t>林治国</w:t>
            </w:r>
          </w:p>
          <w:p>
            <w:pPr>
              <w:rPr>
                <w:sz w:val="24"/>
              </w:rPr>
            </w:pPr>
            <w:r>
              <w:rPr>
                <w:rFonts w:hint="eastAsia"/>
                <w:sz w:val="24"/>
              </w:rPr>
              <w:t>联系信息：</w:t>
            </w:r>
            <w:r>
              <w:rPr>
                <w:rFonts w:ascii="宋体" w:hAnsi="宋体"/>
                <w:sz w:val="24"/>
              </w:rPr>
              <w:t>027-86759059</w:t>
            </w:r>
          </w:p>
          <w:p>
            <w:pPr>
              <w:rPr>
                <w:sz w:val="24"/>
              </w:rPr>
            </w:pPr>
            <w:r>
              <w:rPr>
                <w:rFonts w:hint="eastAsia"/>
                <w:sz w:val="24"/>
              </w:rPr>
              <w:t>联系地址：</w:t>
            </w:r>
            <w:r>
              <w:rPr>
                <w:rFonts w:hint="eastAsia" w:ascii="宋体" w:hAnsi="宋体"/>
                <w:sz w:val="24"/>
              </w:rPr>
              <w:t>武汉市武昌区公正路</w:t>
            </w:r>
            <w:r>
              <w:rPr>
                <w:rFonts w:ascii="宋体" w:hAnsi="宋体"/>
                <w:sz w:val="24"/>
              </w:rPr>
              <w:t>19</w:t>
            </w:r>
            <w:r>
              <w:rPr>
                <w:rFonts w:hint="eastAsia" w:ascii="宋体" w:hAnsi="宋体"/>
                <w:sz w:val="24"/>
              </w:rPr>
              <w:t>号</w:t>
            </w:r>
            <w:r>
              <w:rPr>
                <w:rFonts w:ascii="宋体" w:hAnsi="宋体" w:cs="Calibr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2.3</w:t>
            </w:r>
          </w:p>
        </w:tc>
        <w:tc>
          <w:tcPr>
            <w:tcW w:w="1277" w:type="dxa"/>
            <w:vAlign w:val="center"/>
          </w:tcPr>
          <w:p>
            <w:pPr>
              <w:rPr>
                <w:sz w:val="24"/>
              </w:rPr>
            </w:pPr>
            <w:r>
              <w:rPr>
                <w:rFonts w:hint="eastAsia"/>
                <w:sz w:val="24"/>
              </w:rPr>
              <w:t>集中采购机构</w:t>
            </w:r>
          </w:p>
        </w:tc>
        <w:tc>
          <w:tcPr>
            <w:tcW w:w="6429" w:type="dxa"/>
            <w:vAlign w:val="center"/>
          </w:tcPr>
          <w:p>
            <w:pPr>
              <w:rPr>
                <w:sz w:val="24"/>
              </w:rPr>
            </w:pPr>
            <w:r>
              <w:rPr>
                <w:rFonts w:hint="eastAsia"/>
                <w:sz w:val="24"/>
              </w:rPr>
              <w:t>名称：湖北省公共资源交易中心（湖北省政府采购中心）</w:t>
            </w:r>
            <w:r>
              <w:rPr>
                <w:sz w:val="24"/>
              </w:rPr>
              <w:fldChar w:fldCharType="begin"/>
            </w:r>
            <w:r>
              <w:rPr>
                <w:sz w:val="24"/>
              </w:rPr>
              <w:instrText xml:space="preserve">&lt;MK&gt; org.organname&lt;/MK&gt;</w:instrText>
            </w:r>
            <w:r>
              <w:rPr>
                <w:sz w:val="24"/>
              </w:rPr>
              <w:fldChar w:fldCharType="end"/>
            </w:r>
          </w:p>
          <w:p>
            <w:pPr>
              <w:rPr>
                <w:sz w:val="24"/>
              </w:rPr>
            </w:pPr>
            <w:r>
              <w:rPr>
                <w:rFonts w:hint="eastAsia"/>
                <w:sz w:val="24"/>
              </w:rPr>
              <w:t>文件编制项目联系人：马文武</w:t>
            </w:r>
            <w:r>
              <w:rPr>
                <w:sz w:val="24"/>
              </w:rPr>
              <w:fldChar w:fldCharType="begin"/>
            </w:r>
            <w:r>
              <w:rPr>
                <w:sz w:val="24"/>
              </w:rPr>
              <w:instrText xml:space="preserve">&lt;MK&gt;pro.username&lt;/MK&gt;</w:instrText>
            </w:r>
            <w:r>
              <w:rPr>
                <w:sz w:val="24"/>
              </w:rPr>
              <w:fldChar w:fldCharType="end"/>
            </w:r>
          </w:p>
          <w:p>
            <w:pPr>
              <w:rPr>
                <w:sz w:val="24"/>
              </w:rPr>
            </w:pPr>
            <w:r>
              <w:rPr>
                <w:rFonts w:hint="eastAsia"/>
                <w:sz w:val="24"/>
              </w:rPr>
              <w:t>文件编制项目联系电话：</w:t>
            </w:r>
            <w:r>
              <w:rPr>
                <w:sz w:val="24"/>
              </w:rPr>
              <w:t>027-</w:t>
            </w:r>
            <w:r>
              <w:rPr>
                <w:rFonts w:hint="eastAsia"/>
                <w:sz w:val="24"/>
              </w:rPr>
              <w:t>8662083</w:t>
            </w:r>
            <w:r>
              <w:rPr>
                <w:sz w:val="24"/>
              </w:rPr>
              <w:t>7</w:t>
            </w:r>
          </w:p>
          <w:p>
            <w:pPr>
              <w:rPr>
                <w:sz w:val="24"/>
              </w:rPr>
            </w:pPr>
            <w:r>
              <w:rPr>
                <w:rFonts w:hint="eastAsia"/>
                <w:sz w:val="24"/>
              </w:rPr>
              <w:t>湖北省政府电子采购平台服务电话：027-86620931</w:t>
            </w:r>
          </w:p>
          <w:p>
            <w:pPr>
              <w:rPr>
                <w:sz w:val="24"/>
              </w:rPr>
            </w:pPr>
            <w:r>
              <w:rPr>
                <w:rFonts w:hint="eastAsia"/>
                <w:sz w:val="24"/>
              </w:rPr>
              <w:t>地址：武汉市武昌区中北路2</w:t>
            </w:r>
            <w:r>
              <w:rPr>
                <w:sz w:val="24"/>
              </w:rPr>
              <w:t>52</w:t>
            </w:r>
            <w:r>
              <w:rPr>
                <w:rFonts w:hint="eastAsia"/>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2.6</w:t>
            </w:r>
          </w:p>
        </w:tc>
        <w:tc>
          <w:tcPr>
            <w:tcW w:w="1277" w:type="dxa"/>
            <w:vAlign w:val="center"/>
          </w:tcPr>
          <w:p>
            <w:pPr>
              <w:rPr>
                <w:sz w:val="24"/>
              </w:rPr>
            </w:pPr>
            <w:r>
              <w:rPr>
                <w:sz w:val="24"/>
              </w:rPr>
              <w:t>货物基本要求</w:t>
            </w:r>
          </w:p>
        </w:tc>
        <w:tc>
          <w:tcPr>
            <w:tcW w:w="6429" w:type="dxa"/>
            <w:vAlign w:val="center"/>
          </w:tcPr>
          <w:p>
            <w:pPr>
              <w:rPr>
                <w:sz w:val="24"/>
              </w:rPr>
            </w:pPr>
            <w:r>
              <w:rPr>
                <w:sz w:val="24"/>
              </w:rPr>
              <w:t>是否可采购进口产品：</w:t>
            </w:r>
            <w:r>
              <w:rPr>
                <w:rFonts w:hint="eastAsia"/>
                <w:bCs/>
                <w:sz w:val="24"/>
                <w:lang w:bidi="ar-EG"/>
              </w:rPr>
              <w:t>否</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rFonts w:hint="eastAsia"/>
                <w:sz w:val="24"/>
              </w:rPr>
              <w:t>3</w:t>
            </w:r>
          </w:p>
        </w:tc>
        <w:tc>
          <w:tcPr>
            <w:tcW w:w="1277" w:type="dxa"/>
            <w:vAlign w:val="center"/>
          </w:tcPr>
          <w:p>
            <w:pPr>
              <w:rPr>
                <w:sz w:val="24"/>
              </w:rPr>
            </w:pPr>
            <w:r>
              <w:rPr>
                <w:rFonts w:hint="eastAsia"/>
                <w:sz w:val="24"/>
              </w:rPr>
              <w:t>谈判文件的获取</w:t>
            </w:r>
          </w:p>
        </w:tc>
        <w:tc>
          <w:tcPr>
            <w:tcW w:w="6429" w:type="dxa"/>
            <w:vAlign w:val="center"/>
          </w:tcPr>
          <w:p>
            <w:pPr>
              <w:rPr>
                <w:sz w:val="24"/>
              </w:rPr>
            </w:pPr>
            <w:r>
              <w:rPr>
                <w:rFonts w:hint="eastAsia"/>
                <w:sz w:val="24"/>
              </w:rPr>
              <w:t>（1）获得邀请的供应商登录湖北省政府电子采购平台下载。</w:t>
            </w:r>
          </w:p>
          <w:p>
            <w:pPr>
              <w:rPr>
                <w:sz w:val="24"/>
              </w:rPr>
            </w:pPr>
            <w:r>
              <w:rPr>
                <w:rFonts w:hint="eastAsia"/>
                <w:sz w:val="24"/>
              </w:rPr>
              <w:t>（2）下载时间：</w:t>
            </w:r>
            <w:r>
              <w:rPr>
                <w:sz w:val="24"/>
              </w:rPr>
              <w:t>自202</w:t>
            </w:r>
            <w:r>
              <w:rPr>
                <w:rFonts w:hint="eastAsia"/>
                <w:sz w:val="24"/>
              </w:rPr>
              <w:t>2</w:t>
            </w:r>
            <w:r>
              <w:rPr>
                <w:sz w:val="24"/>
              </w:rPr>
              <w:t>年</w:t>
            </w:r>
            <w:r>
              <w:rPr>
                <w:bCs/>
                <w:sz w:val="24"/>
                <w:lang w:bidi="ar-EG"/>
              </w:rPr>
              <w:t>8</w:t>
            </w:r>
            <w:r>
              <w:rPr>
                <w:sz w:val="24"/>
              </w:rPr>
              <w:t>月</w:t>
            </w:r>
            <w:r>
              <w:rPr>
                <w:bCs/>
                <w:sz w:val="24"/>
                <w:lang w:bidi="ar-EG"/>
              </w:rPr>
              <w:t>25</w:t>
            </w:r>
            <w:r>
              <w:rPr>
                <w:sz w:val="24"/>
              </w:rPr>
              <w:t>日起至</w:t>
            </w:r>
            <w:r>
              <w:rPr>
                <w:bCs/>
                <w:sz w:val="24"/>
                <w:lang w:bidi="ar-EG"/>
              </w:rPr>
              <w:t>8</w:t>
            </w:r>
            <w:r>
              <w:rPr>
                <w:sz w:val="24"/>
              </w:rPr>
              <w:t>月</w:t>
            </w:r>
            <w:r>
              <w:rPr>
                <w:bCs/>
                <w:sz w:val="24"/>
                <w:lang w:bidi="ar-EG"/>
              </w:rPr>
              <w:t>29</w:t>
            </w:r>
            <w:r>
              <w:rPr>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16" w:type="dxa"/>
            <w:vAlign w:val="center"/>
          </w:tcPr>
          <w:p>
            <w:pPr>
              <w:rPr>
                <w:sz w:val="24"/>
              </w:rPr>
            </w:pPr>
            <w:r>
              <w:rPr>
                <w:sz w:val="24"/>
              </w:rPr>
              <w:t>4</w:t>
            </w:r>
          </w:p>
        </w:tc>
        <w:tc>
          <w:tcPr>
            <w:tcW w:w="1277" w:type="dxa"/>
            <w:vAlign w:val="center"/>
          </w:tcPr>
          <w:p>
            <w:pPr>
              <w:rPr>
                <w:sz w:val="24"/>
              </w:rPr>
            </w:pPr>
            <w:r>
              <w:rPr>
                <w:rFonts w:hint="eastAsia"/>
                <w:sz w:val="24"/>
              </w:rPr>
              <w:t>供应商资格条件</w:t>
            </w:r>
          </w:p>
        </w:tc>
        <w:tc>
          <w:tcPr>
            <w:tcW w:w="6429" w:type="dxa"/>
            <w:vAlign w:val="center"/>
          </w:tcPr>
          <w:p>
            <w:pPr>
              <w:rPr>
                <w:sz w:val="24"/>
              </w:rPr>
            </w:pPr>
            <w:r>
              <w:rPr>
                <w:rFonts w:hint="eastAsia"/>
                <w:sz w:val="24"/>
              </w:rPr>
              <w:t>（1）应具备《中华人民共和国政府采购法》第二十二条第一款规定的条件。</w:t>
            </w:r>
          </w:p>
          <w:p>
            <w:pPr>
              <w:rPr>
                <w:sz w:val="24"/>
              </w:rPr>
            </w:pPr>
            <w:r>
              <w:rPr>
                <w:rFonts w:hint="eastAsia"/>
                <w:sz w:val="24"/>
              </w:rPr>
              <w:t>（2）未被列入“信用中国”网站（www.creditchina.gov.cn）失信被执行人和重大税收违法案件当事人名单以及“中国政府采购网”(www.ccgp.gov.cn)的政府采购严重违法失信行为记录名单。</w:t>
            </w:r>
          </w:p>
          <w:p>
            <w:pPr>
              <w:rPr>
                <w:sz w:val="24"/>
              </w:rPr>
            </w:pPr>
            <w:r>
              <w:rPr>
                <w:rFonts w:hint="eastAsia"/>
                <w:sz w:val="24"/>
              </w:rPr>
              <w:t>（3）是否专门面向中小企业：是。</w:t>
            </w:r>
          </w:p>
          <w:p>
            <w:pPr>
              <w:rPr>
                <w:rFonts w:ascii="宋体" w:hAnsi="宋体"/>
                <w:sz w:val="24"/>
              </w:rPr>
            </w:pPr>
            <w:r>
              <w:rPr>
                <w:rFonts w:hint="eastAsia"/>
                <w:sz w:val="24"/>
              </w:rPr>
              <w:t>（4）本项目接受联合体。两个以上供应商组成一个联合体参加本项目活动的，应以一个供应商的身份共同参加；联合体各方均应当符合政府采购法第二十二条第一款规定的条件。联合体各方之间须签订联合协议，明确约定联合体各方承担的工作和相应的责任，在联合协议中指定本项目主办人，并将联合协议作为响应文件组成的一部分；项目的主体、关键性工作应由主办人完成，并在联合协议中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4.8</w:t>
            </w:r>
          </w:p>
        </w:tc>
        <w:tc>
          <w:tcPr>
            <w:tcW w:w="1277" w:type="dxa"/>
            <w:vAlign w:val="center"/>
          </w:tcPr>
          <w:p>
            <w:pPr>
              <w:rPr>
                <w:sz w:val="24"/>
              </w:rPr>
            </w:pPr>
            <w:r>
              <w:rPr>
                <w:rFonts w:hint="eastAsia"/>
                <w:sz w:val="24"/>
              </w:rPr>
              <w:t>联合体</w:t>
            </w:r>
          </w:p>
        </w:tc>
        <w:tc>
          <w:tcPr>
            <w:tcW w:w="6429" w:type="dxa"/>
            <w:vAlign w:val="center"/>
          </w:tcPr>
          <w:p>
            <w:pPr>
              <w:rPr>
                <w:sz w:val="24"/>
              </w:rPr>
            </w:pPr>
            <w:r>
              <w:rPr>
                <w:rFonts w:hint="eastAsia"/>
                <w:sz w:val="24"/>
              </w:rPr>
              <w:sym w:font="Wingdings 2" w:char="0052"/>
            </w:r>
            <w:r>
              <w:rPr>
                <w:rFonts w:hint="eastAsia"/>
                <w:sz w:val="24"/>
              </w:rPr>
              <w:t>接受</w:t>
            </w:r>
          </w:p>
          <w:p>
            <w:pPr>
              <w:rPr>
                <w:sz w:val="24"/>
              </w:rPr>
            </w:pPr>
            <w:r>
              <w:rPr>
                <w:rFonts w:hint="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8.1</w:t>
            </w:r>
          </w:p>
        </w:tc>
        <w:tc>
          <w:tcPr>
            <w:tcW w:w="1277" w:type="dxa"/>
            <w:vAlign w:val="center"/>
          </w:tcPr>
          <w:p>
            <w:pPr>
              <w:rPr>
                <w:sz w:val="24"/>
              </w:rPr>
            </w:pPr>
            <w:r>
              <w:rPr>
                <w:rFonts w:hint="eastAsia"/>
                <w:sz w:val="24"/>
              </w:rPr>
              <w:t>踏勘现场</w:t>
            </w:r>
          </w:p>
        </w:tc>
        <w:tc>
          <w:tcPr>
            <w:tcW w:w="6429" w:type="dxa"/>
            <w:vAlign w:val="center"/>
          </w:tcPr>
          <w:p>
            <w:pPr>
              <w:rPr>
                <w:sz w:val="24"/>
              </w:rPr>
            </w:pPr>
            <w:r>
              <w:rPr>
                <w:rFonts w:hint="eastAsia"/>
                <w:sz w:val="24"/>
              </w:rPr>
              <w:t>□集中组织</w:t>
            </w:r>
          </w:p>
          <w:p>
            <w:pPr>
              <w:rPr>
                <w:sz w:val="24"/>
              </w:rPr>
            </w:pPr>
            <w:r>
              <w:rPr>
                <w:rFonts w:hint="eastAsia"/>
                <w:sz w:val="24"/>
              </w:rPr>
              <w:sym w:font="Wingdings 2" w:char="0052"/>
            </w:r>
            <w:r>
              <w:rPr>
                <w:rFonts w:hint="eastAsia"/>
                <w:sz w:val="24"/>
              </w:rPr>
              <w:t>不集中组织</w:t>
            </w:r>
          </w:p>
        </w:tc>
      </w:tr>
      <w:tr>
        <w:tc>
          <w:tcPr>
            <w:tcW w:w="816" w:type="dxa"/>
            <w:vAlign w:val="center"/>
          </w:tcPr>
          <w:p>
            <w:pPr>
              <w:rPr>
                <w:sz w:val="24"/>
              </w:rPr>
            </w:pPr>
            <w:r>
              <w:rPr>
                <w:sz w:val="24"/>
              </w:rPr>
              <w:t>9.1</w:t>
            </w:r>
          </w:p>
        </w:tc>
        <w:tc>
          <w:tcPr>
            <w:tcW w:w="1277" w:type="dxa"/>
            <w:vAlign w:val="center"/>
          </w:tcPr>
          <w:p>
            <w:pPr>
              <w:rPr>
                <w:sz w:val="24"/>
              </w:rPr>
            </w:pPr>
            <w:r>
              <w:rPr>
                <w:rFonts w:hint="eastAsia"/>
                <w:sz w:val="24"/>
              </w:rPr>
              <w:t>答疑会</w:t>
            </w:r>
          </w:p>
        </w:tc>
        <w:tc>
          <w:tcPr>
            <w:tcW w:w="6429" w:type="dxa"/>
            <w:vAlign w:val="center"/>
          </w:tcPr>
          <w:p>
            <w:pPr>
              <w:rPr>
                <w:sz w:val="24"/>
              </w:rPr>
            </w:pPr>
            <w:r>
              <w:rPr>
                <w:rFonts w:hint="eastAsia"/>
                <w:sz w:val="24"/>
              </w:rPr>
              <w:t>□集中组织</w:t>
            </w:r>
          </w:p>
          <w:p>
            <w:pPr>
              <w:rPr>
                <w:sz w:val="24"/>
              </w:rPr>
            </w:pPr>
            <w:r>
              <w:rPr>
                <w:rFonts w:hint="eastAsia"/>
                <w:sz w:val="24"/>
              </w:rPr>
              <w:sym w:font="Wingdings 2" w:char="0052"/>
            </w:r>
            <w:r>
              <w:rPr>
                <w:rFonts w:hint="eastAsia"/>
                <w:sz w:val="24"/>
              </w:rPr>
              <w:t>不集中组织</w:t>
            </w:r>
          </w:p>
        </w:tc>
      </w:tr>
      <w:tr>
        <w:tc>
          <w:tcPr>
            <w:tcW w:w="816" w:type="dxa"/>
            <w:vAlign w:val="center"/>
          </w:tcPr>
          <w:p>
            <w:pPr>
              <w:rPr>
                <w:sz w:val="24"/>
              </w:rPr>
            </w:pPr>
            <w:r>
              <w:rPr>
                <w:sz w:val="24"/>
              </w:rPr>
              <w:t>10</w:t>
            </w:r>
          </w:p>
        </w:tc>
        <w:tc>
          <w:tcPr>
            <w:tcW w:w="1277" w:type="dxa"/>
            <w:vAlign w:val="center"/>
          </w:tcPr>
          <w:p>
            <w:pPr>
              <w:rPr>
                <w:sz w:val="24"/>
              </w:rPr>
            </w:pPr>
            <w:r>
              <w:rPr>
                <w:rFonts w:hint="eastAsia"/>
                <w:sz w:val="24"/>
              </w:rPr>
              <w:t>分包</w:t>
            </w:r>
          </w:p>
        </w:tc>
        <w:tc>
          <w:tcPr>
            <w:tcW w:w="6429" w:type="dxa"/>
            <w:vAlign w:val="center"/>
          </w:tcPr>
          <w:p>
            <w:pPr>
              <w:rPr>
                <w:sz w:val="24"/>
              </w:rPr>
            </w:pPr>
            <w:r>
              <w:rPr>
                <w:rFonts w:hint="eastAsia"/>
                <w:sz w:val="24"/>
              </w:rPr>
              <w:t>□允许</w:t>
            </w:r>
          </w:p>
          <w:p>
            <w:pPr>
              <w:rPr>
                <w:sz w:val="24"/>
              </w:rPr>
            </w:pPr>
            <w:r>
              <w:rPr>
                <w:rFonts w:hint="eastAsia"/>
                <w:sz w:val="24"/>
              </w:rPr>
              <w:sym w:font="Wingdings 2" w:char="0052"/>
            </w:r>
            <w:r>
              <w:rPr>
                <w:rFonts w:hint="eastAsia"/>
                <w:sz w:val="24"/>
              </w:rPr>
              <w:t>不允许</w:t>
            </w:r>
          </w:p>
        </w:tc>
      </w:tr>
      <w:tr>
        <w:tc>
          <w:tcPr>
            <w:tcW w:w="816" w:type="dxa"/>
            <w:vAlign w:val="center"/>
          </w:tcPr>
          <w:p>
            <w:pPr>
              <w:rPr>
                <w:sz w:val="24"/>
              </w:rPr>
            </w:pPr>
            <w:r>
              <w:rPr>
                <w:sz w:val="24"/>
              </w:rPr>
              <w:t>11</w:t>
            </w:r>
          </w:p>
        </w:tc>
        <w:tc>
          <w:tcPr>
            <w:tcW w:w="1277" w:type="dxa"/>
            <w:vAlign w:val="center"/>
          </w:tcPr>
          <w:p>
            <w:pPr>
              <w:rPr>
                <w:sz w:val="24"/>
              </w:rPr>
            </w:pPr>
            <w:r>
              <w:rPr>
                <w:rFonts w:hint="eastAsia"/>
                <w:sz w:val="24"/>
              </w:rPr>
              <w:t>备选方案</w:t>
            </w:r>
          </w:p>
        </w:tc>
        <w:tc>
          <w:tcPr>
            <w:tcW w:w="6429" w:type="dxa"/>
            <w:vAlign w:val="center"/>
          </w:tcPr>
          <w:p>
            <w:pPr>
              <w:rPr>
                <w:sz w:val="24"/>
              </w:rPr>
            </w:pPr>
            <w:r>
              <w:rPr>
                <w:rFonts w:hint="eastAsia"/>
                <w:sz w:val="24"/>
              </w:rPr>
              <w:t>□接受</w:t>
            </w:r>
          </w:p>
          <w:p>
            <w:pPr>
              <w:rPr>
                <w:sz w:val="24"/>
              </w:rPr>
            </w:pPr>
            <w:r>
              <w:rPr>
                <w:rFonts w:hint="eastAsia"/>
                <w:sz w:val="24"/>
              </w:rPr>
              <w:sym w:font="Wingdings 2" w:char="0052"/>
            </w:r>
            <w:r>
              <w:rPr>
                <w:rFonts w:hint="eastAsia"/>
                <w:sz w:val="24"/>
              </w:rPr>
              <w:t>不接受</w:t>
            </w:r>
          </w:p>
        </w:tc>
      </w:tr>
      <w:tr>
        <w:tc>
          <w:tcPr>
            <w:tcW w:w="816" w:type="dxa"/>
            <w:vAlign w:val="center"/>
          </w:tcPr>
          <w:p>
            <w:pPr>
              <w:rPr>
                <w:sz w:val="24"/>
              </w:rPr>
            </w:pPr>
            <w:r>
              <w:rPr>
                <w:sz w:val="24"/>
              </w:rPr>
              <w:t>14</w:t>
            </w:r>
          </w:p>
        </w:tc>
        <w:tc>
          <w:tcPr>
            <w:tcW w:w="1277" w:type="dxa"/>
            <w:vAlign w:val="center"/>
          </w:tcPr>
          <w:p>
            <w:pPr>
              <w:rPr>
                <w:sz w:val="24"/>
              </w:rPr>
            </w:pPr>
            <w:r>
              <w:rPr>
                <w:rFonts w:hint="eastAsia"/>
                <w:sz w:val="24"/>
              </w:rPr>
              <w:t>响应文件有效期</w:t>
            </w:r>
          </w:p>
        </w:tc>
        <w:tc>
          <w:tcPr>
            <w:tcW w:w="6429" w:type="dxa"/>
            <w:vAlign w:val="center"/>
          </w:tcPr>
          <w:p>
            <w:pPr>
              <w:rPr>
                <w:sz w:val="24"/>
              </w:rPr>
            </w:pPr>
            <w:r>
              <w:rPr>
                <w:rFonts w:hint="eastAsia"/>
                <w:sz w:val="24"/>
              </w:rPr>
              <w:t xml:space="preserve">递交响应文件之日算起 </w:t>
            </w:r>
            <w:r>
              <w:rPr>
                <w:sz w:val="24"/>
              </w:rPr>
              <w:t xml:space="preserve">90 </w:t>
            </w:r>
            <w:r>
              <w:rPr>
                <w:rFonts w:hint="eastAsia"/>
                <w:sz w:val="24"/>
              </w:rPr>
              <w:t>日历日内保持有效。</w:t>
            </w:r>
          </w:p>
        </w:tc>
      </w:tr>
      <w:tr>
        <w:tc>
          <w:tcPr>
            <w:tcW w:w="816" w:type="dxa"/>
            <w:vAlign w:val="center"/>
          </w:tcPr>
          <w:p>
            <w:pPr>
              <w:rPr>
                <w:sz w:val="24"/>
              </w:rPr>
            </w:pPr>
            <w:r>
              <w:rPr>
                <w:sz w:val="24"/>
              </w:rPr>
              <w:t>18</w:t>
            </w:r>
          </w:p>
        </w:tc>
        <w:tc>
          <w:tcPr>
            <w:tcW w:w="1277" w:type="dxa"/>
            <w:vAlign w:val="center"/>
          </w:tcPr>
          <w:p>
            <w:pPr>
              <w:rPr>
                <w:sz w:val="24"/>
              </w:rPr>
            </w:pPr>
            <w:r>
              <w:rPr>
                <w:rFonts w:hint="eastAsia"/>
                <w:sz w:val="24"/>
              </w:rPr>
              <w:t>报价方式</w:t>
            </w:r>
          </w:p>
        </w:tc>
        <w:tc>
          <w:tcPr>
            <w:tcW w:w="6429" w:type="dxa"/>
            <w:vAlign w:val="center"/>
          </w:tcPr>
          <w:p>
            <w:pPr>
              <w:rPr>
                <w:sz w:val="24"/>
              </w:rPr>
            </w:pPr>
            <w:r>
              <w:rPr>
                <w:rFonts w:hint="eastAsia"/>
                <w:sz w:val="24"/>
              </w:rPr>
              <w:t>按综合报价方式，即交钥匙工程。最后报价超过采购预算的，其响应文件无效。</w:t>
            </w:r>
          </w:p>
        </w:tc>
      </w:tr>
      <w:tr>
        <w:tc>
          <w:tcPr>
            <w:tcW w:w="816" w:type="dxa"/>
            <w:vAlign w:val="center"/>
          </w:tcPr>
          <w:p>
            <w:pPr>
              <w:rPr>
                <w:sz w:val="24"/>
              </w:rPr>
            </w:pPr>
            <w:r>
              <w:rPr>
                <w:sz w:val="24"/>
              </w:rPr>
              <w:t>19</w:t>
            </w:r>
          </w:p>
        </w:tc>
        <w:tc>
          <w:tcPr>
            <w:tcW w:w="1277" w:type="dxa"/>
            <w:vAlign w:val="center"/>
          </w:tcPr>
          <w:p>
            <w:pPr>
              <w:rPr>
                <w:sz w:val="24"/>
              </w:rPr>
            </w:pPr>
            <w:r>
              <w:rPr>
                <w:rFonts w:hint="eastAsia"/>
                <w:sz w:val="24"/>
              </w:rPr>
              <w:t>电子响应文件的签章、加密与递交</w:t>
            </w:r>
          </w:p>
        </w:tc>
        <w:tc>
          <w:tcPr>
            <w:tcW w:w="6429" w:type="dxa"/>
            <w:vAlign w:val="center"/>
          </w:tcPr>
          <w:p>
            <w:pPr>
              <w:rPr>
                <w:sz w:val="24"/>
              </w:rPr>
            </w:pPr>
            <w:r>
              <w:rPr>
                <w:rFonts w:hint="eastAsia"/>
                <w:sz w:val="24"/>
              </w:rPr>
              <w:t>（1）签章。响应文件编制完成后，供应商应使用具有电子签章功能的CA锁，对响应文件须盖章的部位加盖电子印章（单位电子公章、法定代表人电子人名章）。电子印章与实物印章具有同等法律效力。采用扫描粘贴供应商公章或法定代表人方章的，响应文件无效。</w:t>
            </w:r>
          </w:p>
          <w:p>
            <w:pPr>
              <w:rPr>
                <w:sz w:val="24"/>
              </w:rPr>
            </w:pPr>
            <w:r>
              <w:rPr>
                <w:rFonts w:hint="eastAsia"/>
                <w:sz w:val="24"/>
              </w:rPr>
              <w:t>（2）密码保护。供应商应牢记上传电子响应文件加密密码并严格保密，该密码将用于解密其电子响应文件。如忘记或输入错误密码超过5次，其递交的电子响应文件将无法解密，导致无法提取数据，致使其谈判失败。</w:t>
            </w:r>
          </w:p>
          <w:p>
            <w:pPr>
              <w:rPr>
                <w:sz w:val="24"/>
              </w:rPr>
            </w:pPr>
            <w:r>
              <w:rPr>
                <w:rFonts w:hint="eastAsia"/>
                <w:sz w:val="24"/>
              </w:rPr>
              <w:t>（3）递交。供应商应在采购文件规定递交响应文件截止时间前，通过湖北省政府电子采购平台的响应文件递交界面，成功递交电子响应文件（PDF格式）和数据文件（PDF格式）并签到。电子响应文件提交前，系统会自动在本地进行加密和数字签名，加密和数字签名后的文件除上传到系统中之外还会同步保存到本地计算机。</w:t>
            </w:r>
          </w:p>
        </w:tc>
      </w:tr>
      <w:tr>
        <w:trPr>
          <w:trHeight w:val="70" w:hRule="atLeast"/>
        </w:trPr>
        <w:tc>
          <w:tcPr>
            <w:tcW w:w="816" w:type="dxa"/>
            <w:vAlign w:val="center"/>
          </w:tcPr>
          <w:p>
            <w:pPr>
              <w:rPr>
                <w:sz w:val="24"/>
              </w:rPr>
            </w:pPr>
            <w:r>
              <w:rPr>
                <w:sz w:val="24"/>
              </w:rPr>
              <w:t>2</w:t>
            </w:r>
            <w:r>
              <w:rPr>
                <w:rFonts w:hint="eastAsia"/>
                <w:sz w:val="24"/>
              </w:rPr>
              <w:t>2</w:t>
            </w:r>
          </w:p>
        </w:tc>
        <w:tc>
          <w:tcPr>
            <w:tcW w:w="1277" w:type="dxa"/>
            <w:vAlign w:val="center"/>
          </w:tcPr>
          <w:p>
            <w:pPr>
              <w:rPr>
                <w:sz w:val="24"/>
              </w:rPr>
            </w:pPr>
            <w:r>
              <w:rPr>
                <w:rFonts w:hint="eastAsia"/>
                <w:sz w:val="24"/>
              </w:rPr>
              <w:t>谈判小组组成</w:t>
            </w:r>
          </w:p>
        </w:tc>
        <w:tc>
          <w:tcPr>
            <w:tcW w:w="6429" w:type="dxa"/>
            <w:vAlign w:val="center"/>
          </w:tcPr>
          <w:p>
            <w:pPr>
              <w:rPr>
                <w:sz w:val="24"/>
              </w:rPr>
            </w:pPr>
            <w:r>
              <w:rPr>
                <w:rFonts w:hint="eastAsia"/>
                <w:sz w:val="24"/>
              </w:rPr>
              <w:t>由采购人代表和 2</w:t>
            </w:r>
            <w:r>
              <w:rPr>
                <w:sz w:val="24"/>
              </w:rPr>
              <w:t xml:space="preserve"> </w:t>
            </w:r>
            <w:r>
              <w:rPr>
                <w:rFonts w:hint="eastAsia"/>
                <w:sz w:val="24"/>
              </w:rPr>
              <w:t>名评审专家组成，评审专家从省级政府采购专家库中随机抽取。</w:t>
            </w:r>
          </w:p>
        </w:tc>
      </w:tr>
      <w:tr>
        <w:trPr>
          <w:trHeight w:val="70" w:hRule="atLeast"/>
        </w:trPr>
        <w:tc>
          <w:tcPr>
            <w:tcW w:w="816" w:type="dxa"/>
            <w:vAlign w:val="center"/>
          </w:tcPr>
          <w:p>
            <w:pPr>
              <w:rPr>
                <w:sz w:val="24"/>
              </w:rPr>
            </w:pPr>
            <w:r>
              <w:rPr>
                <w:sz w:val="24"/>
              </w:rPr>
              <w:t>2</w:t>
            </w:r>
            <w:r>
              <w:rPr>
                <w:rFonts w:hint="eastAsia"/>
                <w:sz w:val="24"/>
              </w:rPr>
              <w:t>3</w:t>
            </w:r>
          </w:p>
        </w:tc>
        <w:tc>
          <w:tcPr>
            <w:tcW w:w="1277" w:type="dxa"/>
            <w:vAlign w:val="center"/>
          </w:tcPr>
          <w:p>
            <w:pPr>
              <w:rPr>
                <w:sz w:val="24"/>
              </w:rPr>
            </w:pPr>
            <w:r>
              <w:rPr>
                <w:rFonts w:hint="eastAsia"/>
                <w:sz w:val="24"/>
              </w:rPr>
              <w:t>确定供应商</w:t>
            </w:r>
          </w:p>
        </w:tc>
        <w:tc>
          <w:tcPr>
            <w:tcW w:w="6429" w:type="dxa"/>
            <w:vAlign w:val="center"/>
          </w:tcPr>
          <w:p>
            <w:pPr>
              <w:rPr>
                <w:sz w:val="24"/>
              </w:rPr>
            </w:pPr>
            <w:r>
              <w:rPr>
                <w:rFonts w:hint="eastAsia"/>
                <w:sz w:val="24"/>
              </w:rPr>
              <w:t>谈判小组从有意愿参加本次采购活动，且符合相关资格条件的供应商中确定（或由采取采购人和评审专家书面推荐）不少于三家参加谈判。</w:t>
            </w:r>
          </w:p>
        </w:tc>
      </w:tr>
      <w:tr>
        <w:trPr>
          <w:trHeight w:val="54" w:hRule="atLeast"/>
        </w:trPr>
        <w:tc>
          <w:tcPr>
            <w:tcW w:w="816" w:type="dxa"/>
            <w:vAlign w:val="center"/>
          </w:tcPr>
          <w:p>
            <w:pPr>
              <w:rPr>
                <w:sz w:val="24"/>
              </w:rPr>
            </w:pPr>
            <w:r>
              <w:rPr>
                <w:sz w:val="24"/>
              </w:rPr>
              <w:t>2</w:t>
            </w:r>
            <w:r>
              <w:rPr>
                <w:rFonts w:hint="eastAsia"/>
                <w:sz w:val="24"/>
              </w:rPr>
              <w:t>4</w:t>
            </w:r>
          </w:p>
        </w:tc>
        <w:tc>
          <w:tcPr>
            <w:tcW w:w="1277" w:type="dxa"/>
            <w:vAlign w:val="center"/>
          </w:tcPr>
          <w:p>
            <w:pPr>
              <w:rPr>
                <w:sz w:val="24"/>
              </w:rPr>
            </w:pPr>
            <w:r>
              <w:rPr>
                <w:rFonts w:hint="eastAsia"/>
                <w:sz w:val="24"/>
              </w:rPr>
              <w:t>评审办法</w:t>
            </w:r>
          </w:p>
        </w:tc>
        <w:tc>
          <w:tcPr>
            <w:tcW w:w="6429" w:type="dxa"/>
            <w:vAlign w:val="center"/>
          </w:tcPr>
          <w:p>
            <w:pPr>
              <w:rPr>
                <w:sz w:val="24"/>
              </w:rPr>
            </w:pPr>
            <w:r>
              <w:rPr>
                <w:rFonts w:hint="eastAsia"/>
                <w:sz w:val="24"/>
              </w:rPr>
              <w:t>谈判小组从质量和服务均能满足采购文件实质性要求的供应商中，按照评审价或最后报价由低到高的顺序提出3名以上成交候选人，也可按事先授权直接确定成交供应商，并编写评审报告。当出现两个及以上相同最低评审价时，谈判小组按照最后报价由低到高确定评审结果排序；评审价相同，且最后报价也相同的，谈判小组按技术优劣或投票确定评审结果排序。面向中小企业项目，按最后报价由低到高确定评审结果排序。</w:t>
            </w:r>
          </w:p>
        </w:tc>
      </w:tr>
      <w:tr>
        <w:trPr>
          <w:trHeight w:val="54" w:hRule="atLeast"/>
        </w:trPr>
        <w:tc>
          <w:tcPr>
            <w:tcW w:w="816" w:type="dxa"/>
            <w:vAlign w:val="center"/>
          </w:tcPr>
          <w:p>
            <w:pPr>
              <w:rPr>
                <w:sz w:val="24"/>
              </w:rPr>
            </w:pPr>
            <w:r>
              <w:rPr>
                <w:sz w:val="24"/>
              </w:rPr>
              <w:t>25</w:t>
            </w:r>
          </w:p>
        </w:tc>
        <w:tc>
          <w:tcPr>
            <w:tcW w:w="1277" w:type="dxa"/>
            <w:vAlign w:val="center"/>
          </w:tcPr>
          <w:p>
            <w:pPr>
              <w:rPr>
                <w:sz w:val="24"/>
              </w:rPr>
            </w:pPr>
            <w:r>
              <w:rPr>
                <w:rFonts w:hint="eastAsia"/>
                <w:sz w:val="24"/>
              </w:rPr>
              <w:t>谈判</w:t>
            </w:r>
            <w:r>
              <w:rPr>
                <w:sz w:val="24"/>
              </w:rPr>
              <w:t>时间和地点</w:t>
            </w:r>
          </w:p>
        </w:tc>
        <w:tc>
          <w:tcPr>
            <w:tcW w:w="6429" w:type="dxa"/>
            <w:vAlign w:val="center"/>
          </w:tcPr>
          <w:p>
            <w:pPr>
              <w:rPr>
                <w:sz w:val="24"/>
              </w:rPr>
            </w:pPr>
            <w:r>
              <w:rPr>
                <w:sz w:val="24"/>
              </w:rPr>
              <w:t>供应商法人或授权代表应携带湖北省政府电子采购平台具有电子签章功能的CA锁，于递交响应文件截止时间前，到</w:t>
            </w:r>
            <w:r>
              <w:rPr>
                <w:rFonts w:hint="eastAsia"/>
                <w:sz w:val="24"/>
              </w:rPr>
              <w:t>谈判</w:t>
            </w:r>
            <w:r>
              <w:rPr>
                <w:sz w:val="24"/>
              </w:rPr>
              <w:t>现场</w:t>
            </w:r>
            <w:r>
              <w:rPr>
                <w:rFonts w:hint="eastAsia"/>
                <w:sz w:val="24"/>
              </w:rPr>
              <w:t>或线上</w:t>
            </w:r>
            <w:r>
              <w:rPr>
                <w:sz w:val="24"/>
              </w:rPr>
              <w:t>解密响应文件，参加</w:t>
            </w:r>
            <w:r>
              <w:rPr>
                <w:rFonts w:hint="eastAsia"/>
                <w:sz w:val="24"/>
              </w:rPr>
              <w:t>谈判</w:t>
            </w:r>
            <w:r>
              <w:rPr>
                <w:sz w:val="24"/>
              </w:rPr>
              <w:t>过程。为了确保视频</w:t>
            </w:r>
            <w:r>
              <w:rPr>
                <w:rFonts w:hint="eastAsia"/>
                <w:sz w:val="24"/>
              </w:rPr>
              <w:t>谈判</w:t>
            </w:r>
            <w:r>
              <w:rPr>
                <w:sz w:val="24"/>
              </w:rPr>
              <w:t>效果，建议供应商携带安装湖北省政府采购电子平台相关软件，且调试完好的计算机参加</w:t>
            </w:r>
            <w:r>
              <w:rPr>
                <w:rFonts w:hint="eastAsia"/>
                <w:sz w:val="24"/>
              </w:rPr>
              <w:t>谈判</w:t>
            </w:r>
            <w:r>
              <w:rPr>
                <w:sz w:val="24"/>
              </w:rPr>
              <w:t>。</w:t>
            </w:r>
          </w:p>
          <w:p>
            <w:pPr>
              <w:rPr>
                <w:sz w:val="24"/>
              </w:rPr>
            </w:pPr>
            <w:r>
              <w:rPr>
                <w:sz w:val="24"/>
              </w:rPr>
              <w:t>（1）时间：202</w:t>
            </w:r>
            <w:r>
              <w:rPr>
                <w:rFonts w:hint="eastAsia"/>
                <w:sz w:val="24"/>
              </w:rPr>
              <w:t>2</w:t>
            </w:r>
            <w:r>
              <w:rPr>
                <w:sz w:val="24"/>
              </w:rPr>
              <w:t>年</w:t>
            </w:r>
            <w:r>
              <w:rPr>
                <w:bCs/>
                <w:sz w:val="24"/>
                <w:lang w:bidi="ar-EG"/>
              </w:rPr>
              <w:t>8</w:t>
            </w:r>
            <w:r>
              <w:rPr>
                <w:sz w:val="24"/>
              </w:rPr>
              <w:t>月</w:t>
            </w:r>
            <w:r>
              <w:rPr>
                <w:bCs/>
                <w:sz w:val="24"/>
                <w:lang w:bidi="ar-EG"/>
              </w:rPr>
              <w:t>30</w:t>
            </w:r>
            <w:r>
              <w:rPr>
                <w:sz w:val="24"/>
              </w:rPr>
              <w:t>日</w:t>
            </w:r>
            <w:r>
              <w:rPr>
                <w:rFonts w:hint="eastAsia"/>
                <w:sz w:val="24"/>
              </w:rPr>
              <w:t>09</w:t>
            </w:r>
            <w:r>
              <w:rPr>
                <w:sz w:val="24"/>
              </w:rPr>
              <w:t>时</w:t>
            </w:r>
            <w:r>
              <w:rPr>
                <w:rFonts w:hint="eastAsia"/>
                <w:sz w:val="24"/>
              </w:rPr>
              <w:t>3</w:t>
            </w:r>
            <w:r>
              <w:rPr>
                <w:sz w:val="24"/>
              </w:rPr>
              <w:t>0分。</w:t>
            </w:r>
          </w:p>
          <w:p>
            <w:pPr>
              <w:rPr>
                <w:sz w:val="24"/>
              </w:rPr>
            </w:pPr>
            <w:r>
              <w:rPr>
                <w:sz w:val="24"/>
              </w:rPr>
              <w:t>（2）地点：武汉市武昌区中北路252号，普提金商务中心大楼A座（武汉地铁4、8号线G出口）</w:t>
            </w:r>
            <w:r>
              <w:rPr>
                <w:rFonts w:hint="eastAsia"/>
                <w:sz w:val="24"/>
              </w:rPr>
              <w:t>9</w:t>
            </w:r>
            <w:r>
              <w:rPr>
                <w:sz w:val="24"/>
              </w:rPr>
              <w:t>楼</w:t>
            </w:r>
            <w:r>
              <w:rPr>
                <w:bCs/>
                <w:sz w:val="24"/>
                <w:lang w:bidi="ar-EG"/>
              </w:rPr>
              <w:t>908</w:t>
            </w:r>
            <w:r>
              <w:rPr>
                <w:sz w:val="24"/>
              </w:rPr>
              <w:t>会议室</w:t>
            </w:r>
            <w:r>
              <w:rPr>
                <w:sz w:val="24"/>
              </w:rPr>
              <w:fldChar w:fldCharType="begin"/>
            </w:r>
            <w:r>
              <w:rPr>
                <w:sz w:val="24"/>
              </w:rPr>
              <w:instrText xml:space="preserve">&lt;MK&gt;pro.mobile&lt;/MK&gt;</w:instrText>
            </w:r>
            <w:r>
              <w:rPr>
                <w:sz w:val="24"/>
              </w:rPr>
              <w:fldChar w:fldCharType="end"/>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3</w:t>
            </w:r>
            <w:r>
              <w:rPr>
                <w:rFonts w:hint="eastAsia"/>
                <w:sz w:val="24"/>
              </w:rPr>
              <w:t>7</w:t>
            </w:r>
          </w:p>
        </w:tc>
        <w:tc>
          <w:tcPr>
            <w:tcW w:w="1277" w:type="dxa"/>
            <w:vAlign w:val="center"/>
          </w:tcPr>
          <w:p>
            <w:pPr>
              <w:rPr>
                <w:sz w:val="24"/>
              </w:rPr>
            </w:pPr>
            <w:r>
              <w:rPr>
                <w:rFonts w:hint="eastAsia"/>
                <w:sz w:val="24"/>
              </w:rPr>
              <w:t>落实政府采购政策</w:t>
            </w:r>
          </w:p>
        </w:tc>
        <w:tc>
          <w:tcPr>
            <w:tcW w:w="6429" w:type="dxa"/>
            <w:vAlign w:val="center"/>
          </w:tcPr>
          <w:p>
            <w:pPr>
              <w:rPr>
                <w:sz w:val="24"/>
              </w:rPr>
            </w:pPr>
            <w:r>
              <w:rPr>
                <w:sz w:val="24"/>
              </w:rPr>
              <w:t>（1）</w:t>
            </w:r>
            <w:r>
              <w:rPr>
                <w:b/>
                <w:sz w:val="24"/>
              </w:rPr>
              <w:t>是否专门面向中小企业、监狱企业、残疾人福利性单位：</w:t>
            </w:r>
            <w:r>
              <w:rPr>
                <w:rFonts w:hint="eastAsia"/>
                <w:bCs/>
                <w:sz w:val="24"/>
                <w:lang w:bidi="ar-EG"/>
              </w:rPr>
              <w:t>是</w:t>
            </w:r>
            <w:r>
              <w:rPr>
                <w:b/>
                <w:sz w:val="24"/>
              </w:rPr>
              <w:t>。</w:t>
            </w:r>
          </w:p>
          <w:p>
            <w:pPr>
              <w:rPr>
                <w:sz w:val="24"/>
              </w:rPr>
            </w:pPr>
            <w:r>
              <w:rPr>
                <w:sz w:val="24"/>
              </w:rPr>
              <w:t>（2）中小企业划分标准所属行业：</w:t>
            </w:r>
            <w:r>
              <w:rPr>
                <w:rFonts w:hint="eastAsia"/>
                <w:b/>
                <w:sz w:val="24"/>
              </w:rPr>
              <w:t>软件和信息技术服务业</w:t>
            </w:r>
            <w:r>
              <w:rPr>
                <w:rFonts w:hint="eastAsia"/>
                <w:sz w:val="24"/>
              </w:rPr>
              <w:t>。</w:t>
            </w:r>
          </w:p>
          <w:p>
            <w:pPr>
              <w:rPr>
                <w:sz w:val="24"/>
              </w:rPr>
            </w:pPr>
            <w:r>
              <w:rPr>
                <w:sz w:val="24"/>
              </w:rPr>
              <w:t>（3）是否强制采购节能产品：否。</w:t>
            </w:r>
          </w:p>
          <w:p>
            <w:pPr>
              <w:rPr>
                <w:sz w:val="24"/>
              </w:rPr>
            </w:pPr>
            <w:r>
              <w:rPr>
                <w:sz w:val="24"/>
              </w:rPr>
              <w:t>（4）</w:t>
            </w:r>
            <w:r>
              <w:rPr>
                <w:rFonts w:hint="eastAsia"/>
                <w:sz w:val="24"/>
              </w:rPr>
              <w:t>适宜由中小企业提供的政府采购限额标准以上，200万元以下的货物、服务和400万元以下的工程采购项目，应当专门面向中小企业采购；超过以上标准，预留预算总额的40%以上专门面向中小企业采购，其中预留给小微企业的比例不低于60%；</w:t>
            </w:r>
          </w:p>
          <w:p>
            <w:pPr>
              <w:rPr>
                <w:sz w:val="24"/>
              </w:rPr>
            </w:pPr>
            <w:r>
              <w:rPr>
                <w:rFonts w:hint="eastAsia"/>
                <w:sz w:val="24"/>
              </w:rPr>
              <w:t>（5）非专门面向中小企业的政府采购项目或采购包，对符合条件的小微企业报价</w:t>
            </w:r>
            <w:r>
              <w:rPr>
                <w:rFonts w:hint="eastAsia"/>
                <w:b/>
                <w:sz w:val="24"/>
              </w:rPr>
              <w:t>给予</w:t>
            </w:r>
            <w:r>
              <w:rPr>
                <w:b/>
                <w:sz w:val="24"/>
              </w:rPr>
              <w:t>10</w:t>
            </w:r>
            <w:r>
              <w:rPr>
                <w:rFonts w:hint="eastAsia"/>
                <w:b/>
                <w:sz w:val="24"/>
              </w:rPr>
              <w:t>%的扣除</w:t>
            </w:r>
            <w:r>
              <w:rPr>
                <w:rFonts w:hint="eastAsia"/>
                <w:sz w:val="24"/>
              </w:rPr>
              <w:t>，对小微企业中的残疾人企业、监狱企业、纳入创新产品应用示范推荐目录内企业、属于政府优先采购《节能产品政府采购品目清单》《环境标志产品政府采购品目》范围内且获得相关证书企业的报价给予</w:t>
            </w:r>
            <w:r>
              <w:rPr>
                <w:sz w:val="24"/>
              </w:rPr>
              <w:t>2</w:t>
            </w:r>
            <w:r>
              <w:rPr>
                <w:rFonts w:hint="eastAsia"/>
                <w:sz w:val="24"/>
              </w:rPr>
              <w:t>0%的扣除，用扣除后的价格参加评审。</w:t>
            </w:r>
          </w:p>
          <w:p>
            <w:pPr>
              <w:pStyle w:val="2"/>
              <w:spacing w:line="240" w:lineRule="auto"/>
            </w:pPr>
            <w:r>
              <w:t>（6）</w:t>
            </w:r>
            <w:r>
              <w:rPr>
                <w:rFonts w:hint="eastAsia"/>
              </w:rPr>
              <w:t>接受大中型企业依法向小微企业分包的货物、服务采购项目，联合体协议或分包意向协议约定小微企业的合同份额占合同总金额</w:t>
            </w:r>
            <w:r>
              <w:t>30%</w:t>
            </w:r>
            <w:r>
              <w:rPr>
                <w:rFonts w:hint="eastAsia"/>
              </w:rPr>
              <w:t>以上的，对联合体或者大中型企业的报价给予</w:t>
            </w:r>
            <w:r>
              <w:rPr>
                <w:b/>
              </w:rPr>
              <w:t>4%-6%</w:t>
            </w:r>
            <w:r>
              <w:rPr>
                <w:rFonts w:hint="eastAsia"/>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rFonts w:hint="eastAsia"/>
                <w:sz w:val="24"/>
              </w:rPr>
              <w:t>3</w:t>
            </w:r>
            <w:r>
              <w:rPr>
                <w:sz w:val="24"/>
              </w:rPr>
              <w:t>8</w:t>
            </w:r>
          </w:p>
        </w:tc>
        <w:tc>
          <w:tcPr>
            <w:tcW w:w="1277" w:type="dxa"/>
            <w:vAlign w:val="center"/>
          </w:tcPr>
          <w:p>
            <w:pPr>
              <w:rPr>
                <w:sz w:val="24"/>
              </w:rPr>
            </w:pPr>
            <w:r>
              <w:rPr>
                <w:rFonts w:hint="eastAsia"/>
                <w:sz w:val="24"/>
              </w:rPr>
              <w:t>确定成交供应商</w:t>
            </w:r>
          </w:p>
        </w:tc>
        <w:tc>
          <w:tcPr>
            <w:tcW w:w="6429" w:type="dxa"/>
            <w:vAlign w:val="center"/>
          </w:tcPr>
          <w:p>
            <w:pPr>
              <w:rPr>
                <w:sz w:val="24"/>
              </w:rPr>
            </w:pPr>
            <w:r>
              <w:rPr>
                <w:rFonts w:hint="eastAsia"/>
                <w:sz w:val="24"/>
              </w:rPr>
              <w:t>采购人从谈判小组提出的成交候选人中，</w:t>
            </w:r>
            <w:r>
              <w:rPr>
                <w:sz w:val="24"/>
              </w:rPr>
              <w:t>按照排序由高到低的</w:t>
            </w:r>
            <w:r>
              <w:rPr>
                <w:rFonts w:hint="eastAsia"/>
                <w:sz w:val="24"/>
              </w:rPr>
              <w:t>顺序，</w:t>
            </w:r>
            <w:r>
              <w:rPr>
                <w:sz w:val="24"/>
              </w:rPr>
              <w:t>确定成交供应商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40</w:t>
            </w:r>
          </w:p>
        </w:tc>
        <w:tc>
          <w:tcPr>
            <w:tcW w:w="1277" w:type="dxa"/>
            <w:vAlign w:val="center"/>
          </w:tcPr>
          <w:p>
            <w:pPr>
              <w:rPr>
                <w:sz w:val="24"/>
              </w:rPr>
            </w:pPr>
            <w:r>
              <w:rPr>
                <w:rFonts w:hint="eastAsia"/>
                <w:sz w:val="24"/>
              </w:rPr>
              <w:t>公告媒体</w:t>
            </w:r>
          </w:p>
        </w:tc>
        <w:tc>
          <w:tcPr>
            <w:tcW w:w="6429" w:type="dxa"/>
            <w:vAlign w:val="center"/>
          </w:tcPr>
          <w:p>
            <w:pPr>
              <w:rPr>
                <w:sz w:val="24"/>
              </w:rPr>
            </w:pPr>
            <w:r>
              <w:rPr>
                <w:rFonts w:hint="eastAsia"/>
                <w:sz w:val="24"/>
              </w:rPr>
              <w:t>湖北省政府采购网、湖北省公共资源交易中心（湖北省政府采购中心）网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sz w:val="24"/>
              </w:rPr>
              <w:t>41</w:t>
            </w:r>
          </w:p>
        </w:tc>
        <w:tc>
          <w:tcPr>
            <w:tcW w:w="1277" w:type="dxa"/>
            <w:vAlign w:val="center"/>
          </w:tcPr>
          <w:p>
            <w:pPr>
              <w:rPr>
                <w:sz w:val="24"/>
              </w:rPr>
            </w:pPr>
            <w:r>
              <w:rPr>
                <w:rFonts w:hint="eastAsia"/>
                <w:sz w:val="24"/>
              </w:rPr>
              <w:t>质疑及回复</w:t>
            </w:r>
          </w:p>
        </w:tc>
        <w:tc>
          <w:tcPr>
            <w:tcW w:w="6429" w:type="dxa"/>
            <w:vAlign w:val="center"/>
          </w:tcPr>
          <w:p>
            <w:pPr>
              <w:rPr>
                <w:sz w:val="24"/>
              </w:rPr>
            </w:pPr>
            <w:r>
              <w:rPr>
                <w:rFonts w:hint="eastAsia"/>
                <w:sz w:val="24"/>
              </w:rPr>
              <w:t>供应商认为采购文件、采购过程和中标、成交结果使自己的权益受到损害的，可以在知道或者应知其权益受到损害之日起7个工作日内，向湖北省公共资源交易中心（湖北省政府采购中心）提出质疑。质疑提出方式</w:t>
            </w:r>
            <w:r>
              <w:rPr>
                <w:sz w:val="24"/>
              </w:rPr>
              <w:t>：（</w:t>
            </w:r>
            <w:r>
              <w:rPr>
                <w:rFonts w:hint="eastAsia"/>
                <w:sz w:val="24"/>
              </w:rPr>
              <w:t>1</w:t>
            </w:r>
            <w:r>
              <w:rPr>
                <w:sz w:val="24"/>
              </w:rPr>
              <w:t>）</w:t>
            </w:r>
            <w:r>
              <w:rPr>
                <w:rFonts w:hint="eastAsia"/>
                <w:sz w:val="24"/>
              </w:rPr>
              <w:t>登录</w:t>
            </w:r>
            <w:r>
              <w:rPr>
                <w:sz w:val="24"/>
              </w:rPr>
              <w:t>湖北省政府电子采购平台</w:t>
            </w:r>
            <w:r>
              <w:rPr>
                <w:rFonts w:hint="eastAsia"/>
                <w:sz w:val="24"/>
              </w:rPr>
              <w:t>，点击</w:t>
            </w:r>
            <w:r>
              <w:rPr>
                <w:sz w:val="24"/>
              </w:rPr>
              <w:t>“</w:t>
            </w:r>
            <w:r>
              <w:rPr>
                <w:rFonts w:hint="eastAsia"/>
                <w:sz w:val="24"/>
              </w:rPr>
              <w:t>我</w:t>
            </w:r>
            <w:r>
              <w:rPr>
                <w:sz w:val="24"/>
              </w:rPr>
              <w:t>的质疑”</w:t>
            </w:r>
            <w:r>
              <w:rPr>
                <w:rFonts w:hint="eastAsia"/>
                <w:sz w:val="24"/>
              </w:rPr>
              <w:t>→</w:t>
            </w:r>
            <w:r>
              <w:rPr>
                <w:sz w:val="24"/>
              </w:rPr>
              <w:t>“</w:t>
            </w:r>
            <w:r>
              <w:rPr>
                <w:rFonts w:hint="eastAsia"/>
                <w:sz w:val="24"/>
              </w:rPr>
              <w:t>提出</w:t>
            </w:r>
            <w:r>
              <w:rPr>
                <w:sz w:val="24"/>
              </w:rPr>
              <w:t>质疑”</w:t>
            </w:r>
            <w:r>
              <w:rPr>
                <w:rFonts w:hint="eastAsia"/>
                <w:sz w:val="24"/>
              </w:rPr>
              <w:t>，然后</w:t>
            </w:r>
            <w:r>
              <w:rPr>
                <w:sz w:val="24"/>
              </w:rPr>
              <w:t>按操作提示进行操作</w:t>
            </w:r>
            <w:r>
              <w:rPr>
                <w:rFonts w:hint="eastAsia"/>
                <w:sz w:val="24"/>
              </w:rPr>
              <w:t>；</w:t>
            </w:r>
            <w:r>
              <w:rPr>
                <w:sz w:val="24"/>
              </w:rPr>
              <w:t>（</w:t>
            </w:r>
            <w:r>
              <w:rPr>
                <w:rFonts w:hint="eastAsia"/>
                <w:sz w:val="24"/>
              </w:rPr>
              <w:t>2</w:t>
            </w:r>
            <w:r>
              <w:rPr>
                <w:sz w:val="24"/>
              </w:rPr>
              <w:t>）</w:t>
            </w:r>
            <w:r>
              <w:rPr>
                <w:rFonts w:hint="eastAsia"/>
                <w:sz w:val="24"/>
              </w:rPr>
              <w:t>线</w:t>
            </w:r>
            <w:r>
              <w:rPr>
                <w:sz w:val="24"/>
              </w:rPr>
              <w:t>下提交</w:t>
            </w:r>
            <w:r>
              <w:rPr>
                <w:rFonts w:hint="eastAsia"/>
                <w:sz w:val="24"/>
              </w:rPr>
              <w:t>《</w:t>
            </w:r>
            <w:r>
              <w:rPr>
                <w:sz w:val="24"/>
              </w:rPr>
              <w:t>质疑函</w:t>
            </w:r>
            <w:r>
              <w:rPr>
                <w:rFonts w:hint="eastAsia"/>
                <w:sz w:val="24"/>
              </w:rPr>
              <w:t>》。质疑联系人：李靖；电话：027-86620819；地址：武汉市武昌区中北路252号(中北路与徐东大街交汇处普提金商务中心A座)150</w:t>
            </w:r>
            <w:r>
              <w:rPr>
                <w:sz w:val="24"/>
              </w:rPr>
              <w:t>6</w:t>
            </w:r>
            <w:r>
              <w:rPr>
                <w:rFonts w:hint="eastAsia"/>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rFonts w:hint="eastAsia"/>
                <w:sz w:val="24"/>
              </w:rPr>
              <w:t>其他</w:t>
            </w:r>
          </w:p>
        </w:tc>
        <w:tc>
          <w:tcPr>
            <w:tcW w:w="1277" w:type="dxa"/>
            <w:vAlign w:val="center"/>
          </w:tcPr>
          <w:p>
            <w:pPr>
              <w:rPr>
                <w:b/>
                <w:sz w:val="24"/>
              </w:rPr>
            </w:pPr>
            <w:r>
              <w:rPr>
                <w:rFonts w:hint="eastAsia"/>
                <w:b/>
                <w:sz w:val="24"/>
              </w:rPr>
              <w:t>政府采购合同融资政策</w:t>
            </w:r>
          </w:p>
        </w:tc>
        <w:tc>
          <w:tcPr>
            <w:tcW w:w="6429" w:type="dxa"/>
            <w:vAlign w:val="center"/>
          </w:tcPr>
          <w:p>
            <w:pPr>
              <w:rPr>
                <w:sz w:val="24"/>
              </w:rPr>
            </w:pPr>
            <w:r>
              <w:rPr>
                <w:sz w:val="24"/>
              </w:rPr>
              <w:t>政府采购合同融资（以下简称“政采贷”）：为加大金融支持实体经济发展的力度，充分发挥政府采购支持中小微企业发展的政策功能，参与政府采购活动的中小微企业，若有融资需求，在获得政府采购中标（成交）通知书后，即可登陆湖北省政府采购合同融资平台（</w:t>
            </w:r>
            <w:r>
              <w:rPr>
                <w:sz w:val="24"/>
              </w:rPr>
              <w:drawing>
                <wp:inline distT="0" distB="0" distL="0" distR="0">
                  <wp:extent cx="190500" cy="142875"/>
                  <wp:effectExtent l="0" t="0" r="0" b="952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 w:val="24"/>
              </w:rPr>
              <w:t>https://czt.hubei.gov.cn/zcd/homepage）向开展“政采贷”业务的金融机构提出申请，金融机构依据政府采购中标（成交）通知书和政府采购合同，为中小微企业提供融资服务。具体要求详见鄂财采发[2020]5号文，此文件可在湖北省政府采购网、湖北省政府采购合同融资平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rFonts w:hint="eastAsia"/>
                <w:sz w:val="24"/>
              </w:rPr>
              <w:t>其他</w:t>
            </w:r>
          </w:p>
        </w:tc>
        <w:tc>
          <w:tcPr>
            <w:tcW w:w="1277" w:type="dxa"/>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电子</w:t>
            </w:r>
            <w:r>
              <w:rPr>
                <w:rFonts w:hint="eastAsia"/>
                <w:sz w:val="24"/>
              </w:rPr>
              <w:t>化流程</w:t>
            </w:r>
            <w:r>
              <w:rPr>
                <w:sz w:val="24"/>
              </w:rPr>
              <w:t>特别提示</w:t>
            </w:r>
          </w:p>
        </w:tc>
        <w:tc>
          <w:tcPr>
            <w:tcW w:w="6429" w:type="dxa"/>
            <w:vAlign w:val="center"/>
          </w:tcPr>
          <w:p>
            <w:pPr>
              <w:rPr>
                <w:sz w:val="24"/>
              </w:rPr>
            </w:pPr>
            <w:r>
              <w:rPr>
                <w:sz w:val="24"/>
              </w:rPr>
              <w:t>（1）本项目采用网上</w:t>
            </w:r>
            <w:r>
              <w:rPr>
                <w:rFonts w:hint="eastAsia"/>
                <w:sz w:val="24"/>
              </w:rPr>
              <w:t>操作</w:t>
            </w:r>
            <w:r>
              <w:rPr>
                <w:sz w:val="24"/>
              </w:rPr>
              <w:t>，参与本项目</w:t>
            </w:r>
            <w:r>
              <w:rPr>
                <w:rFonts w:hint="eastAsia"/>
                <w:sz w:val="24"/>
              </w:rPr>
              <w:t>供应商</w:t>
            </w:r>
            <w:r>
              <w:rPr>
                <w:sz w:val="24"/>
              </w:rPr>
              <w:t>应获得湖北省政府电子采购平台安全证书（CA锁）及电子签章，且安全证书（CA锁）在有效期内。</w:t>
            </w:r>
          </w:p>
          <w:p>
            <w:pPr>
              <w:rPr>
                <w:sz w:val="24"/>
              </w:rPr>
            </w:pPr>
            <w:r>
              <w:rPr>
                <w:sz w:val="24"/>
              </w:rPr>
              <w:t>（2）电子</w:t>
            </w:r>
            <w:r>
              <w:rPr>
                <w:rFonts w:hint="eastAsia"/>
                <w:sz w:val="24"/>
              </w:rPr>
              <w:t>响应</w:t>
            </w:r>
            <w:r>
              <w:rPr>
                <w:sz w:val="24"/>
              </w:rPr>
              <w:t>文件制作及递交等有关操作见湖北省公共资源交易中心（湖北省政府采购中心）官网办事指南《湖北省政府电子采购平台操作手册》，网址：http://jycg.hubei.gov.cn/jyxx/zfcg/bszn/及招标文件；另集中采购机构提供电子采购平台供应商咨询服务，QQ群：463871735，联系电话：</w:t>
            </w:r>
            <w:r>
              <w:rPr>
                <w:rFonts w:hint="eastAsia"/>
                <w:sz w:val="24"/>
              </w:rPr>
              <w:t>027-86620931</w:t>
            </w:r>
            <w:r>
              <w:rPr>
                <w:sz w:val="24"/>
              </w:rPr>
              <w:t>。</w:t>
            </w:r>
          </w:p>
          <w:p>
            <w:pPr>
              <w:rPr>
                <w:sz w:val="24"/>
              </w:rPr>
            </w:pPr>
            <w:r>
              <w:rPr>
                <w:sz w:val="24"/>
              </w:rPr>
              <w:t>（3）交易平台环境要求：</w:t>
            </w:r>
          </w:p>
          <w:p>
            <w:pPr>
              <w:rPr>
                <w:sz w:val="24"/>
              </w:rPr>
            </w:pPr>
            <w:r>
              <w:rPr>
                <w:rFonts w:hint="eastAsia"/>
                <w:sz w:val="24"/>
              </w:rPr>
              <w:t>①</w:t>
            </w:r>
            <w:r>
              <w:rPr>
                <w:sz w:val="24"/>
              </w:rPr>
              <w:t>操作系统：Windows 7及以上版本；</w:t>
            </w:r>
          </w:p>
          <w:p>
            <w:pPr>
              <w:rPr>
                <w:sz w:val="24"/>
              </w:rPr>
            </w:pPr>
            <w:r>
              <w:rPr>
                <w:rFonts w:hint="eastAsia"/>
                <w:sz w:val="24"/>
              </w:rPr>
              <w:t>②</w:t>
            </w:r>
            <w:r>
              <w:rPr>
                <w:sz w:val="24"/>
              </w:rPr>
              <w:t>浏览器：360浏览器、Internet Explorer 11、10；</w:t>
            </w:r>
          </w:p>
          <w:p>
            <w:pPr>
              <w:rPr>
                <w:sz w:val="24"/>
              </w:rPr>
            </w:pPr>
            <w:r>
              <w:rPr>
                <w:rFonts w:hint="eastAsia"/>
                <w:sz w:val="24"/>
              </w:rPr>
              <w:t>③</w:t>
            </w:r>
            <w:r>
              <w:rPr>
                <w:sz w:val="24"/>
              </w:rPr>
              <w:t>办公软件：Microsoft Office 2007-2016完整版、WPS Office 2019个人版、WPS Office 企业版；</w:t>
            </w:r>
          </w:p>
          <w:p>
            <w:pPr>
              <w:rPr>
                <w:sz w:val="24"/>
              </w:rPr>
            </w:pPr>
            <w:r>
              <w:rPr>
                <w:rFonts w:hint="eastAsia"/>
                <w:sz w:val="24"/>
              </w:rPr>
              <w:t>④</w:t>
            </w:r>
            <w:r>
              <w:rPr>
                <w:sz w:val="24"/>
              </w:rPr>
              <w:t>PDF软件推荐： 平台自带PDF软件（软件路径：C:\Windows\winaip）。</w:t>
            </w:r>
          </w:p>
          <w:p>
            <w:pPr>
              <w:rPr>
                <w:sz w:val="24"/>
              </w:rPr>
            </w:pPr>
            <w:r>
              <w:rPr>
                <w:sz w:val="24"/>
              </w:rPr>
              <w:t>非以上环境可能出现错误影响其</w:t>
            </w:r>
            <w:r>
              <w:rPr>
                <w:rFonts w:hint="eastAsia"/>
                <w:sz w:val="24"/>
              </w:rPr>
              <w:t>谈判</w:t>
            </w:r>
            <w:r>
              <w:rPr>
                <w:sz w:val="24"/>
              </w:rPr>
              <w:t>，登录交易平台时如提示更新插件则必须更新，否则将影响其电子</w:t>
            </w:r>
            <w:r>
              <w:rPr>
                <w:rFonts w:hint="eastAsia"/>
                <w:sz w:val="24"/>
              </w:rPr>
              <w:t>化操作</w:t>
            </w:r>
            <w:r>
              <w:rPr>
                <w:sz w:val="24"/>
              </w:rPr>
              <w:t>。</w:t>
            </w:r>
          </w:p>
          <w:p>
            <w:pPr>
              <w:rPr>
                <w:sz w:val="24"/>
              </w:rPr>
            </w:pPr>
            <w:r>
              <w:rPr>
                <w:sz w:val="24"/>
              </w:rPr>
              <w:t>（4）供应商在点击项目参与后，应测试以模拟数据填写</w:t>
            </w:r>
            <w:r>
              <w:rPr>
                <w:rFonts w:hint="eastAsia"/>
                <w:sz w:val="24"/>
              </w:rPr>
              <w:t>响应</w:t>
            </w:r>
            <w:r>
              <w:rPr>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sz w:val="24"/>
              </w:rPr>
              <w:t>提交响应文件</w:t>
            </w:r>
            <w:r>
              <w:rPr>
                <w:sz w:val="24"/>
              </w:rPr>
              <w:t>截止前解决其问题</w:t>
            </w:r>
            <w:r>
              <w:rPr>
                <w:rFonts w:hint="eastAsia"/>
                <w:sz w:val="24"/>
              </w:rPr>
              <w:t>的</w:t>
            </w:r>
            <w:r>
              <w:rPr>
                <w:sz w:val="24"/>
              </w:rPr>
              <w:t>，</w:t>
            </w:r>
            <w:r>
              <w:rPr>
                <w:rFonts w:hint="eastAsia"/>
                <w:sz w:val="24"/>
              </w:rPr>
              <w:t>供应商</w:t>
            </w:r>
            <w:r>
              <w:rPr>
                <w:sz w:val="24"/>
              </w:rPr>
              <w:t>自行承担相应责任。</w:t>
            </w:r>
          </w:p>
          <w:p>
            <w:pPr>
              <w:rPr>
                <w:sz w:val="24"/>
              </w:rPr>
            </w:pPr>
            <w:r>
              <w:rPr>
                <w:sz w:val="24"/>
              </w:rPr>
              <w:t>（5）</w:t>
            </w:r>
            <w:r>
              <w:rPr>
                <w:rFonts w:hint="eastAsia"/>
                <w:sz w:val="24"/>
              </w:rPr>
              <w:t>响应</w:t>
            </w:r>
            <w:r>
              <w:rPr>
                <w:sz w:val="24"/>
              </w:rPr>
              <w:t>文件中的相关扫描件应保证清晰度，无法辨认的评审时受到影响的，由</w:t>
            </w:r>
            <w:r>
              <w:rPr>
                <w:rFonts w:hint="eastAsia"/>
                <w:sz w:val="24"/>
              </w:rPr>
              <w:t>供应商</w:t>
            </w:r>
            <w:r>
              <w:rPr>
                <w:sz w:val="24"/>
              </w:rPr>
              <w:t>自行承担相应责任</w:t>
            </w:r>
          </w:p>
          <w:p>
            <w:pPr>
              <w:rPr>
                <w:sz w:val="24"/>
              </w:rPr>
            </w:pPr>
            <w:r>
              <w:rPr>
                <w:sz w:val="24"/>
              </w:rPr>
              <w:t>（6）</w:t>
            </w:r>
            <w:r>
              <w:rPr>
                <w:rFonts w:hint="eastAsia"/>
                <w:sz w:val="24"/>
              </w:rPr>
              <w:t>供应商</w:t>
            </w:r>
            <w:r>
              <w:rPr>
                <w:sz w:val="24"/>
              </w:rPr>
              <w:t>应</w:t>
            </w:r>
            <w:r>
              <w:rPr>
                <w:rFonts w:hint="eastAsia"/>
                <w:sz w:val="24"/>
              </w:rPr>
              <w:t>按照评审的相关规定及时解密，否则按无效投标处理</w:t>
            </w:r>
            <w:r>
              <w:rPr>
                <w:sz w:val="24"/>
              </w:rPr>
              <w:t>。。</w:t>
            </w:r>
          </w:p>
          <w:p>
            <w:pPr>
              <w:rPr>
                <w:sz w:val="24"/>
              </w:rPr>
            </w:pPr>
            <w:r>
              <w:rPr>
                <w:sz w:val="24"/>
              </w:rPr>
              <w:t>（7）</w:t>
            </w:r>
            <w:r>
              <w:rPr>
                <w:rFonts w:hint="eastAsia"/>
                <w:sz w:val="24"/>
              </w:rPr>
              <w:t>供应商</w:t>
            </w:r>
            <w:r>
              <w:rPr>
                <w:sz w:val="24"/>
              </w:rPr>
              <w:t>应牢记加密密码，该密码将用于</w:t>
            </w:r>
            <w:r>
              <w:rPr>
                <w:rFonts w:hint="eastAsia"/>
                <w:sz w:val="24"/>
              </w:rPr>
              <w:t>报价</w:t>
            </w:r>
            <w:r>
              <w:rPr>
                <w:sz w:val="24"/>
              </w:rPr>
              <w:t>时解密其电子</w:t>
            </w:r>
            <w:r>
              <w:rPr>
                <w:rFonts w:hint="eastAsia"/>
                <w:sz w:val="24"/>
              </w:rPr>
              <w:t>响应</w:t>
            </w:r>
            <w:r>
              <w:rPr>
                <w:sz w:val="24"/>
              </w:rPr>
              <w:t>文件，如忘记密码或输入错误密码超过5次，其递交的电子</w:t>
            </w:r>
            <w:r>
              <w:rPr>
                <w:rFonts w:hint="eastAsia"/>
                <w:sz w:val="24"/>
              </w:rPr>
              <w:t>响应</w:t>
            </w:r>
            <w:r>
              <w:rPr>
                <w:sz w:val="24"/>
              </w:rPr>
              <w:t>文件将无法解密，导致无法提取数据和供他人阅读文件，致使其</w:t>
            </w:r>
            <w:r>
              <w:rPr>
                <w:rFonts w:hint="eastAsia"/>
                <w:sz w:val="24"/>
              </w:rPr>
              <w:t>谈判</w:t>
            </w:r>
            <w:r>
              <w:rPr>
                <w:sz w:val="24"/>
              </w:rPr>
              <w:t>失败。</w:t>
            </w:r>
          </w:p>
          <w:p>
            <w:pPr>
              <w:rPr>
                <w:sz w:val="24"/>
              </w:rPr>
            </w:pPr>
            <w:r>
              <w:rPr>
                <w:sz w:val="24"/>
              </w:rPr>
              <w:t>（8）</w:t>
            </w:r>
            <w:r>
              <w:rPr>
                <w:rFonts w:hint="eastAsia"/>
                <w:sz w:val="24"/>
              </w:rPr>
              <w:t>供应商</w:t>
            </w:r>
            <w:r>
              <w:rPr>
                <w:sz w:val="24"/>
              </w:rPr>
              <w:t>应充分考虑到网上</w:t>
            </w:r>
            <w:r>
              <w:rPr>
                <w:rFonts w:hint="eastAsia"/>
                <w:sz w:val="24"/>
              </w:rPr>
              <w:t>递交文件</w:t>
            </w:r>
            <w:r>
              <w:rPr>
                <w:sz w:val="24"/>
              </w:rPr>
              <w:t>会发生的故障风险。对发生的任何故障和风险造成</w:t>
            </w:r>
            <w:r>
              <w:rPr>
                <w:rFonts w:hint="eastAsia"/>
                <w:sz w:val="24"/>
              </w:rPr>
              <w:t>供应商响应</w:t>
            </w:r>
            <w:r>
              <w:rPr>
                <w:sz w:val="24"/>
              </w:rPr>
              <w:t>内容不一致或利益受损或</w:t>
            </w:r>
            <w:r>
              <w:rPr>
                <w:rFonts w:hint="eastAsia"/>
                <w:sz w:val="24"/>
              </w:rPr>
              <w:t>报价</w:t>
            </w:r>
            <w:r>
              <w:rPr>
                <w:sz w:val="24"/>
              </w:rPr>
              <w:t>失败的，集中采购机构和采购人不承担任何责任。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rPr>
                <w:sz w:val="24"/>
              </w:rPr>
            </w:pPr>
            <w:r>
              <w:rPr>
                <w:rFonts w:hint="eastAsia"/>
                <w:sz w:val="24"/>
              </w:rPr>
              <w:t>※</w:t>
            </w:r>
          </w:p>
        </w:tc>
        <w:tc>
          <w:tcPr>
            <w:tcW w:w="1277" w:type="dxa"/>
          </w:tcPr>
          <w:p>
            <w:pPr>
              <w:rPr>
                <w:b/>
                <w:sz w:val="24"/>
              </w:rPr>
            </w:pPr>
          </w:p>
          <w:p>
            <w:pPr>
              <w:rPr>
                <w:b/>
                <w:sz w:val="24"/>
              </w:rPr>
            </w:pPr>
          </w:p>
          <w:p>
            <w:pPr>
              <w:rPr>
                <w:b/>
                <w:sz w:val="24"/>
              </w:rPr>
            </w:pPr>
          </w:p>
          <w:p>
            <w:pPr>
              <w:rPr>
                <w:b/>
                <w:sz w:val="24"/>
              </w:rPr>
            </w:pPr>
            <w:r>
              <w:rPr>
                <w:rFonts w:hint="eastAsia"/>
                <w:b/>
                <w:sz w:val="24"/>
              </w:rPr>
              <w:t>谈判（磋商）时间和地点</w:t>
            </w:r>
            <w:r>
              <w:rPr>
                <w:b/>
                <w:sz w:val="24"/>
              </w:rPr>
              <w:t>更新内容</w:t>
            </w:r>
          </w:p>
        </w:tc>
        <w:tc>
          <w:tcPr>
            <w:tcW w:w="6429" w:type="dxa"/>
          </w:tcPr>
          <w:p>
            <w:pPr>
              <w:rPr>
                <w:sz w:val="24"/>
              </w:rPr>
            </w:pPr>
            <w:r>
              <w:rPr>
                <w:rFonts w:hint="eastAsia"/>
                <w:sz w:val="24"/>
              </w:rPr>
              <w:t>省交易（采购）中心决定自2022年5月1日开始推行不见面谈判（磋商）。</w:t>
            </w:r>
          </w:p>
          <w:p>
            <w:pPr>
              <w:rPr>
                <w:sz w:val="24"/>
              </w:rPr>
            </w:pPr>
            <w:r>
              <w:rPr>
                <w:rFonts w:hint="eastAsia"/>
                <w:sz w:val="24"/>
              </w:rPr>
              <w:t>供应商应自备具有摄像头、话筒功能且测试完好的电脑。在保证互联网畅通的任何地点，登录湖北省政府采购电子平台，按采购文件要求的递交响应文件的截止时间后及时在线解密响应文件，并参加不见面谈判（磋商）。</w:t>
            </w:r>
          </w:p>
          <w:p>
            <w:pPr>
              <w:rPr>
                <w:sz w:val="24"/>
              </w:rPr>
            </w:pPr>
            <w:r>
              <w:rPr>
                <w:rFonts w:hint="eastAsia"/>
                <w:sz w:val="24"/>
              </w:rPr>
              <w:t>如供应商自愿到省交易（采购）中心参加谈判（磋商），请携带安装湖北省政府采购电子平台相关软件，且测试完好的笔记本电脑和CA锁到省交易（采购）中心1003开标厅等候，并根据工作人员安排采用线上方式进行不见面谈判（磋商）。</w:t>
            </w:r>
          </w:p>
          <w:p>
            <w:pPr>
              <w:rPr>
                <w:sz w:val="24"/>
              </w:rPr>
            </w:pPr>
            <w:r>
              <w:rPr>
                <w:rFonts w:hint="eastAsia"/>
                <w:sz w:val="24"/>
              </w:rPr>
              <w:t>为规范评标现场管理和疫情防控，届时9楼评标区将不再允许政府采购非涉密项目的供应商代表进入。</w:t>
            </w:r>
          </w:p>
        </w:tc>
      </w:tr>
    </w:tbl>
    <w:p/>
    <w:p>
      <w:pPr>
        <w:jc w:val="center"/>
        <w:rPr>
          <w:szCs w:val="28"/>
        </w:rPr>
      </w:pPr>
    </w:p>
    <w:p>
      <w:pPr>
        <w:widowControl/>
        <w:jc w:val="left"/>
        <w:rPr>
          <w:rFonts w:eastAsia="仿宋_GB2312"/>
          <w:bCs/>
          <w:sz w:val="24"/>
        </w:rPr>
      </w:pPr>
    </w:p>
    <w:p>
      <w:pPr>
        <w:widowControl/>
        <w:jc w:val="left"/>
        <w:rPr>
          <w:rFonts w:eastAsia="仿宋_GB2312"/>
          <w:bCs/>
          <w:sz w:val="24"/>
        </w:rPr>
      </w:pPr>
      <w:r>
        <w:rPr>
          <w:rFonts w:eastAsia="仿宋_GB2312"/>
          <w:bCs/>
          <w:sz w:val="24"/>
        </w:rPr>
        <w:br w:type="page"/>
      </w: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w:t>
      </w:r>
      <w:r>
        <w:rPr>
          <w:rFonts w:hint="eastAsia"/>
          <w:sz w:val="24"/>
        </w:rPr>
        <w:t>本项目的竞争性谈判文件，也称谈判文件或采购文件。仅适用于本次所叙述的货物、服务和工程政府采购项目。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1.2按</w:t>
      </w:r>
      <w:r>
        <w:rPr>
          <w:rFonts w:hint="eastAsia" w:cs="宋体"/>
          <w:b/>
          <w:bCs/>
          <w:sz w:val="24"/>
        </w:rPr>
        <w:t>《供应商须知前附表》</w:t>
      </w:r>
      <w:r>
        <w:rPr>
          <w:rFonts w:hint="eastAsia" w:cs="宋体"/>
          <w:bCs/>
          <w:sz w:val="24"/>
        </w:rPr>
        <w:t>规定，在</w:t>
      </w:r>
      <w:r>
        <w:rPr>
          <w:rFonts w:hint="eastAsia" w:cs="宋体"/>
          <w:sz w:val="24"/>
        </w:rPr>
        <w:t>湖北省政府电子采购平台全流程电子化操作和普通网下</w:t>
      </w:r>
      <w:r>
        <w:rPr>
          <w:rFonts w:hint="eastAsia" w:cs="宋体"/>
          <w:bCs/>
          <w:sz w:val="24"/>
        </w:rPr>
        <w:t>操作同步运行。</w:t>
      </w:r>
      <w:r>
        <w:rPr>
          <w:rFonts w:hint="eastAsia" w:cs="宋体"/>
          <w:sz w:val="24"/>
        </w:rPr>
        <w:t>在湖北省政府电子采购平台出现不可抗力时，实行网下普通操作流程。</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2.3“</w:t>
      </w:r>
      <w:r>
        <w:rPr>
          <w:rFonts w:hint="eastAsia" w:cs="宋体"/>
          <w:sz w:val="24"/>
        </w:rPr>
        <w:t>集中采购机构</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2.4“谈判小组”是指：集中采购机构依法组建，也称评审小组。由采购人推荐专业技术人员组成，或由采购人代表和两名及以上评审专家组成。评审专家从省级政府采购专家库中随机抽取。</w:t>
      </w:r>
    </w:p>
    <w:p>
      <w:pPr>
        <w:spacing w:line="440" w:lineRule="exact"/>
        <w:ind w:left="420" w:hanging="420"/>
        <w:rPr>
          <w:sz w:val="24"/>
        </w:rPr>
      </w:pPr>
      <w:r>
        <w:rPr>
          <w:sz w:val="24"/>
        </w:rPr>
        <w:t>2.5“</w:t>
      </w:r>
      <w:r>
        <w:rPr>
          <w:rFonts w:hint="eastAsia" w:cs="宋体"/>
          <w:sz w:val="24"/>
        </w:rPr>
        <w:t>供应商</w:t>
      </w:r>
      <w:r>
        <w:rPr>
          <w:sz w:val="24"/>
        </w:rPr>
        <w:t>”</w:t>
      </w:r>
      <w:r>
        <w:rPr>
          <w:rFonts w:hint="eastAsia" w:cs="宋体"/>
          <w:sz w:val="24"/>
        </w:rPr>
        <w:t>是指：</w:t>
      </w:r>
      <w:r>
        <w:rPr>
          <w:rFonts w:hint="eastAsia"/>
          <w:sz w:val="24"/>
        </w:rPr>
        <w:t>有意愿参加本次采购活动，并获得本项目谈判小组确定参加谈判的法人或者其他组织及自然人。如供应商在本次采购活动中获得成交供应商资格，即成为本项目“成交供应商”</w:t>
      </w:r>
      <w:r>
        <w:rPr>
          <w:rFonts w:hint="eastAsia" w:cs="宋体"/>
          <w:sz w:val="24"/>
        </w:rPr>
        <w:t>。</w:t>
      </w:r>
    </w:p>
    <w:p>
      <w:pPr>
        <w:spacing w:line="440" w:lineRule="exact"/>
        <w:ind w:left="420" w:hanging="420"/>
        <w:rPr>
          <w:sz w:val="24"/>
        </w:rPr>
      </w:pPr>
      <w:r>
        <w:rPr>
          <w:sz w:val="24"/>
        </w:rPr>
        <w:t>2.6“</w:t>
      </w:r>
      <w:r>
        <w:rPr>
          <w:rFonts w:hint="eastAsia" w:cs="宋体"/>
          <w:sz w:val="24"/>
        </w:rPr>
        <w:t>货物</w:t>
      </w:r>
      <w:r>
        <w:rPr>
          <w:sz w:val="24"/>
        </w:rPr>
        <w:t>”</w:t>
      </w:r>
      <w:r>
        <w:rPr>
          <w:rFonts w:hint="eastAsia" w:cs="宋体"/>
          <w:sz w:val="24"/>
        </w:rPr>
        <w:t>是指：</w:t>
      </w:r>
      <w:r>
        <w:rPr>
          <w:rFonts w:hint="eastAsia"/>
          <w:bCs/>
          <w:sz w:val="24"/>
        </w:rPr>
        <w:t>成交供应商按采购文件规定，向采购人提供的一切货物及其相关服务。根据《政府采购法》的相关规定均应是本国货物，</w:t>
      </w:r>
      <w:r>
        <w:rPr>
          <w:b/>
          <w:bCs/>
          <w:sz w:val="24"/>
        </w:rPr>
        <w:t>《</w:t>
      </w:r>
      <w:r>
        <w:rPr>
          <w:rFonts w:hint="eastAsia"/>
          <w:b/>
          <w:bCs/>
          <w:sz w:val="24"/>
        </w:rPr>
        <w:t>供应商</w:t>
      </w:r>
      <w:r>
        <w:rPr>
          <w:b/>
          <w:bCs/>
          <w:sz w:val="24"/>
        </w:rPr>
        <w:t>须知前附表》</w:t>
      </w:r>
      <w:r>
        <w:rPr>
          <w:bCs/>
          <w:sz w:val="24"/>
        </w:rPr>
        <w:t>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是指：成交供应商按采购文件规定向采购人提供的所有服务。</w:t>
      </w:r>
    </w:p>
    <w:p>
      <w:pPr>
        <w:spacing w:line="440" w:lineRule="exact"/>
        <w:ind w:left="420" w:hanging="420"/>
        <w:rPr>
          <w:rFonts w:cs="宋体"/>
          <w:sz w:val="24"/>
        </w:rPr>
      </w:pPr>
      <w:r>
        <w:rPr>
          <w:sz w:val="24"/>
        </w:rPr>
        <w:t>2.8“</w:t>
      </w:r>
      <w:r>
        <w:rPr>
          <w:rFonts w:hint="eastAsia" w:cs="宋体"/>
          <w:sz w:val="24"/>
        </w:rPr>
        <w:t>响应文件</w:t>
      </w:r>
      <w:r>
        <w:rPr>
          <w:sz w:val="24"/>
        </w:rPr>
        <w:t>”</w:t>
      </w:r>
      <w:r>
        <w:rPr>
          <w:rFonts w:hint="eastAsia" w:cs="宋体"/>
          <w:sz w:val="24"/>
        </w:rPr>
        <w:t>是指：供应商根据采购文件要求编制包含价格、技术、服务和合同草案条款等所有内容的文件。</w:t>
      </w:r>
    </w:p>
    <w:p>
      <w:pPr>
        <w:spacing w:line="440" w:lineRule="exact"/>
        <w:ind w:left="360" w:hanging="360" w:hangingChars="150"/>
        <w:rPr>
          <w:sz w:val="24"/>
        </w:rPr>
      </w:pPr>
      <w:r>
        <w:rPr>
          <w:sz w:val="24"/>
        </w:rPr>
        <w:t xml:space="preserve">3. </w:t>
      </w:r>
      <w:r>
        <w:rPr>
          <w:rFonts w:hint="eastAsia"/>
          <w:sz w:val="24"/>
        </w:rPr>
        <w:t>谈判文件的获取：详见</w:t>
      </w:r>
      <w:r>
        <w:rPr>
          <w:rFonts w:hint="eastAsia"/>
          <w:b/>
          <w:sz w:val="24"/>
        </w:rPr>
        <w:t>《供应商须知前附表》。</w:t>
      </w:r>
    </w:p>
    <w:p>
      <w:pPr>
        <w:spacing w:line="440" w:lineRule="exact"/>
        <w:ind w:left="360" w:hanging="360" w:hangingChars="150"/>
        <w:rPr>
          <w:sz w:val="24"/>
        </w:rPr>
      </w:pPr>
      <w:r>
        <w:rPr>
          <w:sz w:val="24"/>
        </w:rPr>
        <w:t>4</w:t>
      </w:r>
      <w:r>
        <w:rPr>
          <w:rFonts w:hint="eastAsia"/>
          <w:sz w:val="24"/>
        </w:rPr>
        <w:t>. 供应商应具备《政府采购法》第二十二条第一款规定的条件，并按</w:t>
      </w:r>
      <w:r>
        <w:rPr>
          <w:rFonts w:hint="eastAsia" w:cs="宋体"/>
          <w:b/>
          <w:bCs/>
          <w:sz w:val="24"/>
        </w:rPr>
        <w:t>《供应商须知前附表》</w:t>
      </w:r>
      <w:r>
        <w:rPr>
          <w:rFonts w:hint="eastAsia" w:cs="宋体"/>
          <w:bCs/>
          <w:sz w:val="24"/>
        </w:rPr>
        <w:t>要求</w:t>
      </w:r>
      <w:r>
        <w:rPr>
          <w:rFonts w:hint="eastAsia"/>
          <w:sz w:val="24"/>
        </w:rPr>
        <w:t>提供以下证明材料。对于未提供或提供的材料不符合采购文件要求的，其</w:t>
      </w:r>
      <w:r>
        <w:rPr>
          <w:rFonts w:hint="eastAsia"/>
          <w:b/>
          <w:sz w:val="24"/>
        </w:rPr>
        <w:t>响应文件无效</w:t>
      </w:r>
      <w:r>
        <w:rPr>
          <w:rFonts w:hint="eastAsia"/>
          <w:sz w:val="24"/>
        </w:rPr>
        <w:t>。资格证明文件必须真实可靠、不得伪造。</w:t>
      </w:r>
    </w:p>
    <w:p>
      <w:pPr>
        <w:spacing w:line="440" w:lineRule="exact"/>
        <w:ind w:left="360" w:hanging="360" w:hangingChars="150"/>
        <w:rPr>
          <w:sz w:val="24"/>
        </w:rPr>
      </w:pPr>
      <w:r>
        <w:rPr>
          <w:sz w:val="24"/>
        </w:rPr>
        <w:t>4</w:t>
      </w:r>
      <w:r>
        <w:rPr>
          <w:rFonts w:hint="eastAsia"/>
          <w:sz w:val="24"/>
        </w:rPr>
        <w:t>.1法人或者其他组织的营业执照等证明文件，如供应商是自然人的提供身份证明材料。</w:t>
      </w:r>
    </w:p>
    <w:p>
      <w:pPr>
        <w:spacing w:line="440" w:lineRule="exact"/>
        <w:ind w:left="360" w:hanging="360" w:hangingChars="150"/>
        <w:rPr>
          <w:sz w:val="24"/>
        </w:rPr>
      </w:pPr>
      <w:r>
        <w:rPr>
          <w:sz w:val="24"/>
        </w:rPr>
        <w:t>4.2</w:t>
      </w:r>
      <w:r>
        <w:rPr>
          <w:rFonts w:hint="eastAsia"/>
          <w:sz w:val="24"/>
        </w:rPr>
        <w:t>符合国家相关规定的财务状况报告书面承诺书；依法缴纳税收和社会保障金的书面承诺书。</w:t>
      </w:r>
    </w:p>
    <w:p>
      <w:pPr>
        <w:spacing w:line="440" w:lineRule="exact"/>
        <w:ind w:left="360" w:hanging="360" w:hangingChars="150"/>
        <w:rPr>
          <w:sz w:val="24"/>
        </w:rPr>
      </w:pPr>
      <w:r>
        <w:rPr>
          <w:sz w:val="24"/>
        </w:rPr>
        <w:t>4.</w:t>
      </w:r>
      <w:r>
        <w:rPr>
          <w:rFonts w:hint="eastAsia"/>
          <w:sz w:val="24"/>
        </w:rPr>
        <w:t>3具备履行合同所必需的设备和专业技术能力的书面承诺书。</w:t>
      </w:r>
    </w:p>
    <w:p>
      <w:pPr>
        <w:spacing w:line="440" w:lineRule="exact"/>
        <w:ind w:left="360" w:hanging="360" w:hangingChars="150"/>
        <w:rPr>
          <w:sz w:val="24"/>
        </w:rPr>
      </w:pPr>
      <w:r>
        <w:rPr>
          <w:sz w:val="24"/>
        </w:rPr>
        <w:t>4.</w:t>
      </w:r>
      <w:r>
        <w:rPr>
          <w:rFonts w:hint="eastAsia"/>
          <w:sz w:val="24"/>
        </w:rPr>
        <w:t>4参加政府采购活动前3年内在经营活动中没有重大违法记录的书面声明。</w:t>
      </w:r>
    </w:p>
    <w:p>
      <w:pPr>
        <w:spacing w:line="440" w:lineRule="exact"/>
        <w:ind w:left="360" w:hanging="360" w:hangingChars="150"/>
        <w:rPr>
          <w:sz w:val="24"/>
        </w:rPr>
      </w:pPr>
      <w:r>
        <w:rPr>
          <w:sz w:val="24"/>
        </w:rPr>
        <w:t>4.5</w:t>
      </w:r>
      <w:r>
        <w:rPr>
          <w:rFonts w:hint="eastAsia"/>
          <w:sz w:val="24"/>
        </w:rPr>
        <w:t>未被列入“信用中国”网站(www.creditchina. gov.cn)失信被执行人、重大税收违法案件当事人名单、政府采购严重违法失信行为记录名单的书面声明。</w:t>
      </w:r>
    </w:p>
    <w:p>
      <w:pPr>
        <w:spacing w:line="440" w:lineRule="exact"/>
        <w:ind w:left="360" w:hanging="360" w:hangingChars="150"/>
        <w:rPr>
          <w:sz w:val="24"/>
        </w:rPr>
      </w:pPr>
      <w:r>
        <w:rPr>
          <w:sz w:val="24"/>
        </w:rPr>
        <w:t>4.6</w:t>
      </w:r>
      <w:r>
        <w:rPr>
          <w:rFonts w:hint="eastAsia"/>
          <w:sz w:val="24"/>
        </w:rPr>
        <w:t>如经营、开发或承担本采购项目的货物、服务国家有相关资质要求、或强制性规范、或行业标准的，应已经取得并提供相应的资质证书。</w:t>
      </w:r>
    </w:p>
    <w:p>
      <w:pPr>
        <w:spacing w:line="440" w:lineRule="exact"/>
        <w:ind w:left="360" w:hanging="360" w:hangingChars="150"/>
        <w:rPr>
          <w:sz w:val="24"/>
        </w:rPr>
      </w:pPr>
      <w:r>
        <w:rPr>
          <w:sz w:val="24"/>
        </w:rPr>
        <w:t>4.7</w:t>
      </w:r>
      <w:r>
        <w:rPr>
          <w:rFonts w:hint="eastAsia"/>
          <w:sz w:val="24"/>
        </w:rPr>
        <w:t>采购文件《供应商须知前附表》中要求提供的其他证明材料。</w:t>
      </w:r>
    </w:p>
    <w:p>
      <w:pPr>
        <w:spacing w:line="440" w:lineRule="exact"/>
        <w:ind w:left="360" w:hanging="360" w:hangingChars="150"/>
        <w:rPr>
          <w:sz w:val="24"/>
        </w:rPr>
      </w:pPr>
      <w:r>
        <w:rPr>
          <w:sz w:val="24"/>
        </w:rPr>
        <w:t>4.8</w:t>
      </w:r>
      <w:r>
        <w:rPr>
          <w:rFonts w:hint="eastAsia" w:cs="宋体"/>
          <w:sz w:val="24"/>
        </w:rPr>
        <w:t>按</w:t>
      </w:r>
      <w:r>
        <w:rPr>
          <w:rFonts w:hint="eastAsia" w:cs="宋体"/>
          <w:b/>
          <w:bCs/>
          <w:sz w:val="24"/>
        </w:rPr>
        <w:t>《供应商须知前附表》</w:t>
      </w:r>
      <w:r>
        <w:rPr>
          <w:rFonts w:hint="eastAsia" w:cs="宋体"/>
          <w:sz w:val="24"/>
        </w:rPr>
        <w:t>规定接受</w:t>
      </w:r>
      <w:r>
        <w:rPr>
          <w:rFonts w:hint="eastAsia"/>
          <w:sz w:val="24"/>
        </w:rPr>
        <w:t>联合体参加本次采购活动的，联合体各方均应满足上述要求，并提供包括但不限于以下相关证明材料，</w:t>
      </w:r>
      <w:r>
        <w:rPr>
          <w:rFonts w:hint="eastAsia" w:cs="宋体"/>
          <w:sz w:val="24"/>
        </w:rPr>
        <w:t>否则，</w:t>
      </w:r>
      <w:r>
        <w:rPr>
          <w:rFonts w:hint="eastAsia" w:cs="宋体"/>
          <w:b/>
          <w:sz w:val="24"/>
        </w:rPr>
        <w:t>响应文件无效</w:t>
      </w:r>
      <w:r>
        <w:rPr>
          <w:rFonts w:hint="eastAsia" w:cs="宋体"/>
          <w:sz w:val="24"/>
        </w:rPr>
        <w:t>。</w:t>
      </w:r>
    </w:p>
    <w:p>
      <w:pPr>
        <w:spacing w:line="440" w:lineRule="exact"/>
        <w:ind w:left="420" w:hanging="420"/>
        <w:rPr>
          <w:sz w:val="24"/>
        </w:rPr>
      </w:pPr>
      <w:r>
        <w:rPr>
          <w:sz w:val="24"/>
        </w:rPr>
        <w:t>1</w:t>
      </w:r>
      <w:r>
        <w:rPr>
          <w:rFonts w:hint="eastAsia" w:cs="宋体"/>
          <w:sz w:val="24"/>
        </w:rPr>
        <w:t>）两个以上供应商组成一个联合体参加本项目活动的，应以一个供应商的身份共同参加；</w:t>
      </w:r>
      <w:r>
        <w:rPr>
          <w:sz w:val="24"/>
        </w:rPr>
        <w:t xml:space="preserve"> </w:t>
      </w:r>
    </w:p>
    <w:p>
      <w:pPr>
        <w:spacing w:line="440" w:lineRule="exact"/>
        <w:ind w:left="420" w:hanging="420"/>
        <w:rPr>
          <w:sz w:val="24"/>
        </w:rPr>
      </w:pPr>
      <w:r>
        <w:rPr>
          <w:sz w:val="24"/>
        </w:rPr>
        <w:t>2</w:t>
      </w:r>
      <w:r>
        <w:rPr>
          <w:rFonts w:hint="eastAsia" w:cs="宋体"/>
          <w:sz w:val="24"/>
        </w:rPr>
        <w:t>）供应商应在有意愿参加本项目活动时，向集中采购机构提交有关联合体书面说明，并明确联合体主体；</w:t>
      </w:r>
    </w:p>
    <w:p>
      <w:pPr>
        <w:spacing w:line="440" w:lineRule="exact"/>
        <w:ind w:left="420" w:hanging="420"/>
        <w:rPr>
          <w:sz w:val="24"/>
        </w:rPr>
      </w:pPr>
      <w:r>
        <w:rPr>
          <w:sz w:val="24"/>
        </w:rPr>
        <w:t>3</w:t>
      </w:r>
      <w:r>
        <w:rPr>
          <w:rFonts w:hint="eastAsia" w:cs="宋体"/>
          <w:sz w:val="24"/>
        </w:rPr>
        <w:t>）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440" w:lineRule="exact"/>
        <w:ind w:left="420" w:hanging="420"/>
        <w:rPr>
          <w:sz w:val="24"/>
        </w:rPr>
      </w:pPr>
      <w:r>
        <w:rPr>
          <w:sz w:val="24"/>
        </w:rPr>
        <w:t>4</w:t>
      </w:r>
      <w:r>
        <w:rPr>
          <w:rFonts w:hint="eastAsia" w:cs="宋体"/>
          <w:sz w:val="24"/>
        </w:rPr>
        <w:t>）联合体各方之间须签订联合协议，明确约定联合体各方承担的工作和相应的责任，在联合协议中指定本项目主办人，并将联合协议作为响应文件组成的一部分；项目的主体、关键性工作应由主办人完成，并在联合协议中进行说明；</w:t>
      </w:r>
    </w:p>
    <w:p>
      <w:pPr>
        <w:spacing w:line="440" w:lineRule="exact"/>
        <w:ind w:left="420" w:hanging="420"/>
        <w:rPr>
          <w:sz w:val="24"/>
        </w:rPr>
      </w:pPr>
      <w:r>
        <w:rPr>
          <w:sz w:val="24"/>
        </w:rPr>
        <w:t>5</w:t>
      </w:r>
      <w:r>
        <w:rPr>
          <w:rFonts w:hint="eastAsia" w:cs="宋体"/>
          <w:sz w:val="24"/>
        </w:rPr>
        <w:t>）联合体各方签订联合协议后，不得再以自己名义单独参加本项目，也不得组成新的联合体参加本项目；</w:t>
      </w:r>
    </w:p>
    <w:p>
      <w:pPr>
        <w:spacing w:line="440" w:lineRule="exact"/>
        <w:ind w:left="420" w:hanging="420"/>
        <w:rPr>
          <w:sz w:val="24"/>
        </w:rPr>
      </w:pPr>
      <w:r>
        <w:rPr>
          <w:sz w:val="24"/>
        </w:rPr>
        <w:t>6</w:t>
      </w:r>
      <w:r>
        <w:rPr>
          <w:rFonts w:hint="eastAsia" w:cs="宋体"/>
          <w:sz w:val="24"/>
        </w:rPr>
        <w:t>）联合体各方共同与采购人签订采购合同，就采购合同约定的事项对采购人承担连带责任。</w:t>
      </w:r>
    </w:p>
    <w:p>
      <w:pPr>
        <w:spacing w:line="440" w:lineRule="exact"/>
        <w:rPr>
          <w:bCs/>
          <w:sz w:val="24"/>
          <w:lang w:bidi="ar-EG"/>
        </w:rPr>
      </w:pPr>
      <w:r>
        <w:rPr>
          <w:bCs/>
          <w:sz w:val="24"/>
          <w:lang w:bidi="ar-EG"/>
        </w:rPr>
        <w:t>5. 费用</w:t>
      </w:r>
    </w:p>
    <w:p>
      <w:pPr>
        <w:spacing w:line="440" w:lineRule="exact"/>
        <w:ind w:left="360" w:hanging="360" w:hangingChars="150"/>
        <w:rPr>
          <w:sz w:val="24"/>
        </w:rPr>
      </w:pPr>
      <w:r>
        <w:rPr>
          <w:sz w:val="24"/>
        </w:rPr>
        <w:t>5.1 供应商应自行承担所有与编写和提交响应文件有关的费用，不论结果如何，采购人和</w:t>
      </w:r>
      <w:r>
        <w:rPr>
          <w:rFonts w:hint="eastAsia"/>
          <w:sz w:val="24"/>
        </w:rPr>
        <w:t>集中采购机构</w:t>
      </w:r>
      <w:r>
        <w:rPr>
          <w:sz w:val="24"/>
        </w:rPr>
        <w:t>在任何情况下无义务和责任承担此类费用。</w:t>
      </w:r>
    </w:p>
    <w:p>
      <w:pPr>
        <w:spacing w:line="440" w:lineRule="exact"/>
        <w:rPr>
          <w:sz w:val="24"/>
        </w:rPr>
      </w:pPr>
      <w:r>
        <w:rPr>
          <w:sz w:val="24"/>
        </w:rPr>
        <w:t>5.2 集中采购机构不向成交供应商收取服务费及其他费用。</w:t>
      </w:r>
    </w:p>
    <w:p>
      <w:pPr>
        <w:spacing w:line="440" w:lineRule="exact"/>
        <w:ind w:left="360" w:hanging="360" w:hangingChars="150"/>
        <w:rPr>
          <w:sz w:val="24"/>
        </w:rPr>
      </w:pPr>
      <w:r>
        <w:rPr>
          <w:sz w:val="24"/>
        </w:rPr>
        <w:t>6.</w:t>
      </w:r>
      <w:r>
        <w:rPr>
          <w:rFonts w:hint="eastAsia" w:cs="宋体"/>
          <w:sz w:val="24"/>
        </w:rPr>
        <w:t xml:space="preserve"> </w:t>
      </w:r>
      <w:r>
        <w:rPr>
          <w:rFonts w:hint="eastAsia"/>
          <w:sz w:val="24"/>
        </w:rPr>
        <w:t>参与采购活动的各方应对供应商响应文件中的商业和技术等秘密保密，违者应对此造成的后果承担法律责任。</w:t>
      </w:r>
    </w:p>
    <w:p>
      <w:pPr>
        <w:spacing w:line="440" w:lineRule="exact"/>
        <w:ind w:left="360" w:hanging="360" w:hangingChars="150"/>
        <w:rPr>
          <w:sz w:val="24"/>
        </w:rPr>
      </w:pPr>
      <w:r>
        <w:rPr>
          <w:sz w:val="24"/>
        </w:rPr>
        <w:t>7.</w:t>
      </w:r>
      <w:r>
        <w:rPr>
          <w:rFonts w:hint="eastAsia"/>
          <w:sz w:val="24"/>
        </w:rPr>
        <w:t xml:space="preserve"> </w:t>
      </w:r>
      <w:r>
        <w:rPr>
          <w:sz w:val="24"/>
        </w:rPr>
        <w:t>除技术要求中另有规定外，采购文件所使用的计量单位均应采用国家法定计量单位。</w:t>
      </w:r>
    </w:p>
    <w:p>
      <w:pPr>
        <w:spacing w:line="440" w:lineRule="exact"/>
        <w:ind w:left="420" w:hanging="420"/>
        <w:rPr>
          <w:sz w:val="24"/>
        </w:rPr>
      </w:pPr>
      <w:r>
        <w:rPr>
          <w:sz w:val="24"/>
        </w:rPr>
        <w:t xml:space="preserve">8. </w:t>
      </w:r>
      <w:r>
        <w:rPr>
          <w:rFonts w:hint="eastAsia" w:cs="宋体"/>
          <w:sz w:val="24"/>
        </w:rPr>
        <w:t>踏勘现场</w:t>
      </w:r>
    </w:p>
    <w:p>
      <w:pPr>
        <w:spacing w:line="440" w:lineRule="exact"/>
        <w:ind w:left="420" w:hanging="420"/>
        <w:rPr>
          <w:sz w:val="24"/>
        </w:rPr>
      </w:pPr>
      <w:r>
        <w:rPr>
          <w:sz w:val="24"/>
        </w:rPr>
        <w:t>8.1</w:t>
      </w:r>
      <w:r>
        <w:rPr>
          <w:rFonts w:hint="eastAsia" w:cs="宋体"/>
          <w:sz w:val="24"/>
        </w:rPr>
        <w:t>采购人按</w:t>
      </w:r>
      <w:r>
        <w:rPr>
          <w:rFonts w:hint="eastAsia" w:cs="宋体"/>
          <w:b/>
          <w:bCs/>
          <w:sz w:val="24"/>
        </w:rPr>
        <w:t>《供应商须知前附表》</w:t>
      </w:r>
      <w:r>
        <w:rPr>
          <w:rFonts w:hint="eastAsia" w:cs="宋体"/>
          <w:sz w:val="24"/>
        </w:rPr>
        <w:t>规定的时间、地点组织供应商踏勘项目现场。</w:t>
      </w:r>
    </w:p>
    <w:p>
      <w:pPr>
        <w:spacing w:line="440" w:lineRule="exact"/>
        <w:ind w:left="420" w:hanging="420"/>
        <w:rPr>
          <w:sz w:val="24"/>
        </w:rPr>
      </w:pPr>
      <w:r>
        <w:rPr>
          <w:sz w:val="24"/>
        </w:rPr>
        <w:t>8.2</w:t>
      </w:r>
      <w:r>
        <w:rPr>
          <w:rFonts w:hint="eastAsia" w:cs="宋体"/>
          <w:sz w:val="24"/>
        </w:rPr>
        <w:t>供应商踏勘现场发生的费用自理。</w:t>
      </w:r>
    </w:p>
    <w:p>
      <w:pPr>
        <w:spacing w:line="440" w:lineRule="exact"/>
        <w:ind w:left="420" w:hanging="420"/>
        <w:rPr>
          <w:sz w:val="24"/>
        </w:rPr>
      </w:pPr>
      <w:r>
        <w:rPr>
          <w:sz w:val="24"/>
        </w:rPr>
        <w:t>8.3</w:t>
      </w:r>
      <w:r>
        <w:rPr>
          <w:rFonts w:hint="eastAsia" w:cs="宋体"/>
          <w:sz w:val="24"/>
        </w:rPr>
        <w:t>除采购人的原因外，供应商自行负责在踏勘现场中所发生的人员伤亡和财产损失。</w:t>
      </w:r>
    </w:p>
    <w:p>
      <w:pPr>
        <w:spacing w:line="440" w:lineRule="exact"/>
        <w:ind w:left="420" w:hanging="420"/>
        <w:rPr>
          <w:sz w:val="24"/>
        </w:rPr>
      </w:pPr>
      <w:r>
        <w:rPr>
          <w:sz w:val="24"/>
        </w:rPr>
        <w:t>8.4</w:t>
      </w:r>
      <w:r>
        <w:rPr>
          <w:rFonts w:hint="eastAsia" w:cs="宋体"/>
          <w:sz w:val="24"/>
        </w:rPr>
        <w:t>采购人在踏勘现场中介绍的场地和相关的周边环境情况，仅供供应商在编制响应文件时参考，采购人不对供应商据此作出的判断和决策负责。</w:t>
      </w:r>
    </w:p>
    <w:p>
      <w:pPr>
        <w:spacing w:line="440" w:lineRule="exact"/>
        <w:ind w:left="420" w:hanging="420"/>
        <w:rPr>
          <w:sz w:val="24"/>
        </w:rPr>
      </w:pPr>
      <w:r>
        <w:rPr>
          <w:sz w:val="24"/>
        </w:rPr>
        <w:t>9.1</w:t>
      </w:r>
      <w:r>
        <w:rPr>
          <w:rFonts w:hint="eastAsia" w:cs="宋体"/>
          <w:sz w:val="24"/>
        </w:rPr>
        <w:t>采购人按</w:t>
      </w:r>
      <w:r>
        <w:rPr>
          <w:rFonts w:hint="eastAsia" w:cs="宋体"/>
          <w:b/>
          <w:bCs/>
          <w:sz w:val="24"/>
        </w:rPr>
        <w:t>《供应商须知前附表》</w:t>
      </w:r>
      <w:r>
        <w:rPr>
          <w:rFonts w:hint="eastAsia" w:cs="宋体"/>
          <w:sz w:val="24"/>
        </w:rPr>
        <w:t>规定的时间和地点召开答疑会，澄清供应商提出的问题。供应商如认为采购文件表述不清晰、前后矛盾等内容的，应当在响应文件递交截止日</w:t>
      </w:r>
      <w:r>
        <w:rPr>
          <w:sz w:val="24"/>
          <w:u w:val="single"/>
        </w:rPr>
        <w:t xml:space="preserve"> </w:t>
      </w:r>
      <w:r>
        <w:rPr>
          <w:rFonts w:hint="eastAsia"/>
          <w:sz w:val="24"/>
          <w:u w:val="single"/>
        </w:rPr>
        <w:t>两</w:t>
      </w:r>
      <w:r>
        <w:rPr>
          <w:sz w:val="24"/>
          <w:u w:val="single"/>
        </w:rPr>
        <w:t xml:space="preserve"> </w:t>
      </w:r>
      <w:r>
        <w:rPr>
          <w:rFonts w:hint="eastAsia" w:cs="宋体"/>
          <w:sz w:val="24"/>
        </w:rPr>
        <w:t>天前以书面形式要求采购人作出书面澄清。对于在此时间之后递交的询问或质疑，不予受理。</w:t>
      </w:r>
    </w:p>
    <w:p>
      <w:pPr>
        <w:spacing w:line="440" w:lineRule="exact"/>
        <w:ind w:left="420" w:hanging="420"/>
        <w:rPr>
          <w:sz w:val="24"/>
        </w:rPr>
      </w:pPr>
      <w:r>
        <w:rPr>
          <w:sz w:val="24"/>
        </w:rPr>
        <w:t>9.2</w:t>
      </w:r>
      <w:r>
        <w:rPr>
          <w:rFonts w:hint="eastAsia" w:cs="宋体"/>
          <w:sz w:val="24"/>
        </w:rPr>
        <w:t>供应商应在答疑会时间的前一天，以书面形式将提出的问题送达采购人或集中采购机构。</w:t>
      </w:r>
    </w:p>
    <w:p>
      <w:pPr>
        <w:spacing w:line="440" w:lineRule="exact"/>
        <w:ind w:left="420" w:hanging="420"/>
        <w:rPr>
          <w:sz w:val="24"/>
        </w:rPr>
      </w:pPr>
      <w:r>
        <w:rPr>
          <w:sz w:val="24"/>
        </w:rPr>
        <w:t>9.3</w:t>
      </w:r>
      <w:r>
        <w:rPr>
          <w:rFonts w:hint="eastAsia" w:cs="宋体"/>
          <w:sz w:val="24"/>
        </w:rPr>
        <w:t>答疑会后，采购人或集中采购机构对供应商所提问题进行澄清答复。</w:t>
      </w:r>
    </w:p>
    <w:p>
      <w:pPr>
        <w:spacing w:line="440" w:lineRule="exact"/>
        <w:ind w:left="420" w:hanging="420"/>
        <w:rPr>
          <w:sz w:val="24"/>
        </w:rPr>
      </w:pPr>
      <w:r>
        <w:rPr>
          <w:sz w:val="24"/>
        </w:rPr>
        <w:t>10.</w:t>
      </w:r>
      <w:r>
        <w:rPr>
          <w:rFonts w:hint="eastAsia" w:cs="宋体"/>
          <w:sz w:val="24"/>
        </w:rPr>
        <w:t xml:space="preserve"> 按</w:t>
      </w:r>
      <w:r>
        <w:rPr>
          <w:rFonts w:hint="eastAsia" w:cs="宋体"/>
          <w:b/>
          <w:bCs/>
          <w:sz w:val="24"/>
        </w:rPr>
        <w:t>《供应商须知前附表》</w:t>
      </w:r>
      <w:r>
        <w:rPr>
          <w:rFonts w:hint="eastAsia" w:cs="宋体"/>
          <w:sz w:val="24"/>
        </w:rPr>
        <w:t>规定允许分包的，供应商可在响应文件中载明分包的具体情况。分包内容、分包金额和接受分包的第三人资质要求应符合《供应商须知前附表》规定条件，否则，</w:t>
      </w:r>
      <w:r>
        <w:rPr>
          <w:rFonts w:hint="eastAsia" w:cs="宋体"/>
          <w:b/>
          <w:sz w:val="24"/>
        </w:rPr>
        <w:t>响应文件无效</w:t>
      </w:r>
      <w:r>
        <w:rPr>
          <w:rFonts w:hint="eastAsia" w:cs="宋体"/>
          <w:sz w:val="24"/>
        </w:rPr>
        <w:t>。</w:t>
      </w:r>
    </w:p>
    <w:p>
      <w:pPr>
        <w:spacing w:line="440" w:lineRule="exact"/>
        <w:ind w:left="420" w:hanging="420"/>
        <w:rPr>
          <w:sz w:val="24"/>
        </w:rPr>
      </w:pPr>
      <w:r>
        <w:rPr>
          <w:sz w:val="24"/>
        </w:rPr>
        <w:t>11.</w:t>
      </w:r>
      <w:r>
        <w:rPr>
          <w:rFonts w:hint="eastAsia" w:cs="宋体"/>
          <w:sz w:val="24"/>
        </w:rPr>
        <w:t xml:space="preserve"> 按</w:t>
      </w:r>
      <w:r>
        <w:rPr>
          <w:rFonts w:hint="eastAsia" w:cs="宋体"/>
          <w:b/>
          <w:bCs/>
          <w:sz w:val="24"/>
        </w:rPr>
        <w:t>《供应商须知前附表》</w:t>
      </w:r>
      <w:r>
        <w:rPr>
          <w:rFonts w:hint="eastAsia" w:cs="宋体"/>
          <w:sz w:val="24"/>
        </w:rPr>
        <w:t>规定允许提交备选方案的，供应商可按要求提交备选方案，否则，</w:t>
      </w:r>
      <w:r>
        <w:rPr>
          <w:rFonts w:hint="eastAsia" w:cs="宋体"/>
          <w:b/>
          <w:sz w:val="24"/>
        </w:rPr>
        <w:t>响应文件无效</w:t>
      </w:r>
      <w:r>
        <w:rPr>
          <w:rFonts w:hint="eastAsia" w:cs="宋体"/>
          <w:sz w:val="24"/>
        </w:rPr>
        <w:t>。</w:t>
      </w:r>
    </w:p>
    <w:p>
      <w:pPr>
        <w:spacing w:line="440" w:lineRule="exact"/>
        <w:ind w:left="420" w:hanging="420"/>
        <w:rPr>
          <w:sz w:val="24"/>
        </w:rPr>
      </w:pPr>
      <w:r>
        <w:rPr>
          <w:sz w:val="24"/>
        </w:rPr>
        <w:t xml:space="preserve">12. </w:t>
      </w:r>
      <w:r>
        <w:rPr>
          <w:rFonts w:hint="eastAsia" w:cs="宋体"/>
          <w:sz w:val="24"/>
        </w:rPr>
        <w:t>其他</w:t>
      </w:r>
    </w:p>
    <w:p>
      <w:pPr>
        <w:spacing w:line="440" w:lineRule="exact"/>
        <w:ind w:left="420" w:hanging="420"/>
        <w:rPr>
          <w:sz w:val="24"/>
        </w:rPr>
      </w:pPr>
      <w:r>
        <w:rPr>
          <w:sz w:val="24"/>
        </w:rPr>
        <w:t>12.1</w:t>
      </w:r>
      <w:r>
        <w:rPr>
          <w:rFonts w:hint="eastAsia" w:cs="宋体"/>
          <w:sz w:val="24"/>
        </w:rPr>
        <w:t>响应文件应完全满足采购文件规定的实质性内容和条件。</w:t>
      </w:r>
    </w:p>
    <w:p>
      <w:pPr>
        <w:spacing w:line="440" w:lineRule="exact"/>
        <w:ind w:left="420" w:hanging="420"/>
        <w:rPr>
          <w:sz w:val="24"/>
        </w:rPr>
      </w:pPr>
      <w:r>
        <w:rPr>
          <w:sz w:val="24"/>
        </w:rPr>
        <w:t>12.2</w:t>
      </w:r>
      <w:r>
        <w:rPr>
          <w:rFonts w:hint="eastAsia"/>
          <w:sz w:val="24"/>
        </w:rPr>
        <w:t>采购文件</w:t>
      </w:r>
      <w:r>
        <w:rPr>
          <w:rFonts w:hint="eastAsia" w:cs="宋体"/>
          <w:sz w:val="24"/>
        </w:rPr>
        <w:t>中如有描述歧义或前后不一致的地方，谈判小组有权按公平、合理的原则进行评判，对同一条款的评判标准适用于每个供应商。</w:t>
      </w:r>
    </w:p>
    <w:p>
      <w:pPr>
        <w:spacing w:line="440" w:lineRule="exact"/>
        <w:ind w:left="420" w:hanging="420"/>
        <w:rPr>
          <w:sz w:val="24"/>
        </w:rPr>
      </w:pPr>
      <w:r>
        <w:rPr>
          <w:sz w:val="24"/>
        </w:rPr>
        <w:t>12.</w:t>
      </w:r>
      <w:r>
        <w:rPr>
          <w:rFonts w:hint="eastAsia"/>
          <w:sz w:val="24"/>
        </w:rPr>
        <w:t>3</w:t>
      </w:r>
      <w:r>
        <w:rPr>
          <w:rFonts w:hint="eastAsia" w:cs="宋体"/>
          <w:sz w:val="24"/>
        </w:rPr>
        <w:t>响应文件的响应内容应当真实、明确、准确。否则，谈判小组可能将对其作出不利的评审。</w:t>
      </w:r>
    </w:p>
    <w:p>
      <w:pPr>
        <w:spacing w:line="440" w:lineRule="exact"/>
        <w:ind w:left="420" w:hanging="420"/>
        <w:rPr>
          <w:sz w:val="24"/>
        </w:rPr>
      </w:pPr>
      <w:r>
        <w:rPr>
          <w:sz w:val="24"/>
        </w:rPr>
        <w:t>12.</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sz w:val="24"/>
        </w:rPr>
        <w:t xml:space="preserve">13. </w:t>
      </w:r>
      <w:r>
        <w:rPr>
          <w:rFonts w:hint="eastAsia" w:cs="宋体"/>
          <w:sz w:val="24"/>
        </w:rPr>
        <w:t>响应文件编制基本要求</w:t>
      </w:r>
    </w:p>
    <w:p>
      <w:pPr>
        <w:spacing w:line="440" w:lineRule="exact"/>
        <w:ind w:left="363" w:leftChars="1" w:hanging="360" w:hangingChars="150"/>
        <w:rPr>
          <w:sz w:val="24"/>
        </w:rPr>
      </w:pPr>
      <w:r>
        <w:rPr>
          <w:sz w:val="24"/>
        </w:rPr>
        <w:t>13.1</w:t>
      </w:r>
      <w:r>
        <w:rPr>
          <w:rFonts w:hint="eastAsia" w:cs="宋体"/>
          <w:sz w:val="24"/>
        </w:rPr>
        <w:t>响应文件以及与集中采购机构和采购人来往函电均应使用简体中文。</w:t>
      </w:r>
    </w:p>
    <w:p>
      <w:pPr>
        <w:spacing w:line="440" w:lineRule="exact"/>
        <w:ind w:left="363" w:leftChars="1" w:hanging="360" w:hangingChars="150"/>
        <w:rPr>
          <w:sz w:val="24"/>
        </w:rPr>
      </w:pPr>
      <w:r>
        <w:rPr>
          <w:sz w:val="24"/>
        </w:rPr>
        <w:t>13.2</w:t>
      </w:r>
      <w:r>
        <w:rPr>
          <w:rFonts w:hint="eastAsia" w:cs="宋体"/>
          <w:sz w:val="24"/>
        </w:rPr>
        <w:t>供应商应认真阅读、并充分理解采购文件的全部内容（包括所有的补充、修改内容），承诺并履行采购文件中各项条款规定及要求。</w:t>
      </w:r>
    </w:p>
    <w:p>
      <w:pPr>
        <w:spacing w:line="440" w:lineRule="exact"/>
        <w:ind w:left="363" w:leftChars="1" w:hanging="360" w:hangingChars="150"/>
        <w:rPr>
          <w:sz w:val="24"/>
        </w:rPr>
      </w:pPr>
      <w:r>
        <w:rPr>
          <w:sz w:val="24"/>
        </w:rPr>
        <w:t>13.3</w:t>
      </w:r>
      <w:r>
        <w:rPr>
          <w:rFonts w:hint="eastAsia" w:cs="宋体"/>
          <w:sz w:val="24"/>
        </w:rPr>
        <w:t>响应文件应按采购文件的全部内容，包括所有的补充通知及附件进行编制。供应商受邀参加本项目多个包的，其响应文件应按每包要求分别编制和递交。</w:t>
      </w:r>
    </w:p>
    <w:p>
      <w:pPr>
        <w:spacing w:line="440" w:lineRule="exact"/>
        <w:ind w:left="363" w:leftChars="1" w:hanging="360" w:hangingChars="150"/>
        <w:rPr>
          <w:sz w:val="24"/>
        </w:rPr>
      </w:pPr>
      <w:r>
        <w:rPr>
          <w:sz w:val="24"/>
        </w:rPr>
        <w:t>13.4</w:t>
      </w:r>
      <w:r>
        <w:rPr>
          <w:rFonts w:hint="eastAsia" w:cs="宋体"/>
          <w:sz w:val="24"/>
        </w:rPr>
        <w:t>如因供应商只提供采购文件要求的部分内容或附件的，谈判小组有权拒绝其补充和谈判。</w:t>
      </w:r>
    </w:p>
    <w:p>
      <w:pPr>
        <w:spacing w:line="440" w:lineRule="exact"/>
        <w:ind w:left="363" w:leftChars="1" w:hanging="360" w:hangingChars="150"/>
        <w:rPr>
          <w:bCs/>
          <w:sz w:val="24"/>
        </w:rPr>
      </w:pPr>
      <w:r>
        <w:rPr>
          <w:rFonts w:hint="eastAsia"/>
          <w:bCs/>
          <w:sz w:val="24"/>
        </w:rPr>
        <w:t>1</w:t>
      </w:r>
      <w:r>
        <w:rPr>
          <w:bCs/>
          <w:sz w:val="24"/>
        </w:rPr>
        <w:t>3</w:t>
      </w:r>
      <w:r>
        <w:rPr>
          <w:rFonts w:hint="eastAsia"/>
          <w:bCs/>
          <w:sz w:val="24"/>
        </w:rPr>
        <w:t>.5响应文件的组成。不限于以下内容，如未提供，谈判小组有权拒绝，其</w:t>
      </w:r>
      <w:r>
        <w:rPr>
          <w:rFonts w:hint="eastAsia"/>
          <w:b/>
          <w:bCs/>
          <w:sz w:val="24"/>
        </w:rPr>
        <w:t>响应文件无效</w:t>
      </w:r>
      <w:r>
        <w:rPr>
          <w:rFonts w:hint="eastAsia"/>
          <w:bCs/>
          <w:sz w:val="24"/>
        </w:rPr>
        <w:t>：</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9）符合国家相关规定的财务状况报告书面承诺书，依法缴纳税收和社会保障资金的书面承诺书(附件9)；</w:t>
      </w:r>
    </w:p>
    <w:p>
      <w:pPr>
        <w:spacing w:line="440" w:lineRule="exact"/>
        <w:ind w:left="363" w:leftChars="1" w:hanging="360" w:hangingChars="150"/>
        <w:rPr>
          <w:bCs/>
          <w:sz w:val="24"/>
        </w:rPr>
      </w:pPr>
      <w:r>
        <w:rPr>
          <w:rFonts w:hint="eastAsia"/>
          <w:bCs/>
          <w:sz w:val="24"/>
        </w:rPr>
        <w:t>10）具备履行合同所必需的设备和专业技术能力的书面承诺书(附件10)；</w:t>
      </w:r>
    </w:p>
    <w:p>
      <w:pPr>
        <w:spacing w:line="440" w:lineRule="exact"/>
        <w:ind w:left="363" w:leftChars="1" w:hanging="360" w:hangingChars="150"/>
        <w:rPr>
          <w:bCs/>
          <w:sz w:val="24"/>
        </w:rPr>
      </w:pPr>
      <w:r>
        <w:rPr>
          <w:rFonts w:hint="eastAsia"/>
          <w:bCs/>
          <w:sz w:val="24"/>
        </w:rPr>
        <w:t>11）参加政府采购活动前3年内在经营活动中没有重大违法记录的书面声明(附件11)；</w:t>
      </w:r>
    </w:p>
    <w:p>
      <w:pPr>
        <w:spacing w:line="440" w:lineRule="exact"/>
        <w:ind w:left="363" w:leftChars="1" w:hanging="360" w:hangingChars="150"/>
        <w:rPr>
          <w:bCs/>
          <w:sz w:val="24"/>
        </w:rPr>
      </w:pPr>
      <w:r>
        <w:rPr>
          <w:rFonts w:hint="eastAsia"/>
          <w:bCs/>
          <w:sz w:val="24"/>
        </w:rPr>
        <w:t>12）</w:t>
      </w:r>
      <w:r>
        <w:rPr>
          <w:rFonts w:hint="eastAsia"/>
          <w:bCs/>
          <w:sz w:val="24"/>
          <w:lang w:bidi="ar-EG"/>
        </w:rPr>
        <w:t>未被列入“信用中国”网站（www.creditchina.gov.cn）失信被执行人和重大税收违法案件当事人名单以及“中国政府采购网”(www.ccgp.gov.cn)的政府采购严重违法失信行为记录名单</w:t>
      </w:r>
      <w:r>
        <w:rPr>
          <w:rFonts w:hint="eastAsia"/>
          <w:bCs/>
          <w:sz w:val="24"/>
        </w:rPr>
        <w:t>(附件12)。</w:t>
      </w:r>
    </w:p>
    <w:p>
      <w:pPr>
        <w:spacing w:line="440" w:lineRule="exact"/>
        <w:ind w:left="363" w:leftChars="1" w:hanging="360" w:hangingChars="150"/>
        <w:rPr>
          <w:bCs/>
          <w:sz w:val="24"/>
        </w:rPr>
      </w:pPr>
      <w:r>
        <w:rPr>
          <w:rFonts w:hint="eastAsia"/>
          <w:sz w:val="24"/>
        </w:rPr>
        <w:t>13）</w:t>
      </w:r>
      <w:r>
        <w:rPr>
          <w:rFonts w:hint="eastAsia"/>
          <w:bCs/>
          <w:sz w:val="24"/>
        </w:rPr>
        <w:t>《中小企业声明函》（如果有的话）(附件13)；</w:t>
      </w:r>
    </w:p>
    <w:p>
      <w:pPr>
        <w:spacing w:line="440" w:lineRule="exact"/>
        <w:ind w:left="363" w:leftChars="1" w:hanging="360" w:hangingChars="150"/>
        <w:rPr>
          <w:bCs/>
          <w:sz w:val="24"/>
        </w:rPr>
      </w:pPr>
      <w:r>
        <w:rPr>
          <w:rFonts w:hint="eastAsia"/>
          <w:bCs/>
          <w:sz w:val="24"/>
        </w:rPr>
        <w:t>14）《残疾人福利性单位声明函》（如果有的话）(附件14)；</w:t>
      </w:r>
    </w:p>
    <w:p>
      <w:pPr>
        <w:spacing w:line="440" w:lineRule="exact"/>
        <w:ind w:left="363" w:leftChars="1" w:hanging="360" w:hangingChars="150"/>
        <w:rPr>
          <w:bCs/>
          <w:sz w:val="24"/>
        </w:rPr>
      </w:pPr>
      <w:r>
        <w:rPr>
          <w:rFonts w:hint="eastAsia"/>
          <w:bCs/>
          <w:sz w:val="24"/>
        </w:rPr>
        <w:t>15）属于监狱企业的证明文件等（如果有的话）(附件15)；</w:t>
      </w:r>
    </w:p>
    <w:p>
      <w:pPr>
        <w:spacing w:line="440" w:lineRule="exact"/>
        <w:ind w:left="363" w:leftChars="1" w:hanging="360" w:hangingChars="150"/>
        <w:rPr>
          <w:bCs/>
          <w:sz w:val="24"/>
        </w:rPr>
      </w:pPr>
      <w:r>
        <w:rPr>
          <w:rFonts w:hint="eastAsia"/>
          <w:bCs/>
          <w:sz w:val="24"/>
        </w:rPr>
        <w:t>16）</w:t>
      </w:r>
      <w:r>
        <w:rPr>
          <w:rFonts w:hint="eastAsia" w:cs="宋体"/>
          <w:sz w:val="24"/>
        </w:rPr>
        <w:t>按</w:t>
      </w:r>
      <w:r>
        <w:rPr>
          <w:rFonts w:hint="eastAsia" w:cs="宋体"/>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sz w:val="24"/>
        </w:rPr>
        <w:t xml:space="preserve">14.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规定的期间内保持有效，在此期间响应文件有效。谈判结束后，在有效期内供应商不得改变谈判报价、服务期及承诺的全部义务。响应文件有效期比采购文件规定短的，</w:t>
      </w:r>
      <w:r>
        <w:rPr>
          <w:rFonts w:hint="eastAsia" w:cs="宋体"/>
          <w:b/>
          <w:sz w:val="24"/>
        </w:rPr>
        <w:t>响应文件无效</w:t>
      </w:r>
      <w:r>
        <w:rPr>
          <w:rFonts w:hint="eastAsia" w:cs="宋体"/>
          <w:sz w:val="24"/>
        </w:rPr>
        <w:t>。</w:t>
      </w:r>
    </w:p>
    <w:p>
      <w:pPr>
        <w:spacing w:line="440" w:lineRule="exact"/>
        <w:ind w:left="363" w:leftChars="1" w:hanging="360" w:hangingChars="150"/>
        <w:rPr>
          <w:sz w:val="24"/>
        </w:rPr>
      </w:pPr>
      <w:r>
        <w:rPr>
          <w:sz w:val="24"/>
        </w:rPr>
        <w:t xml:space="preserve">15. </w:t>
      </w:r>
      <w:r>
        <w:rPr>
          <w:rFonts w:hint="eastAsia" w:cs="宋体"/>
          <w:sz w:val="24"/>
        </w:rPr>
        <w:t>在特殊情况下，在原谈判有效期满之前，集中采购机构可向供应商提出延长谈判有效期的要求。这种要求与答复均应采用书面形式。供应商可以拒绝集中采购机构的要求。同意延长谈判有效期的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w:t>
      </w:r>
      <w:r>
        <w:rPr>
          <w:sz w:val="24"/>
        </w:rPr>
        <w:t>6. 报价以人民币报价。</w:t>
      </w:r>
    </w:p>
    <w:p>
      <w:pPr>
        <w:spacing w:line="440" w:lineRule="exact"/>
        <w:ind w:left="363" w:leftChars="1" w:hanging="360" w:hangingChars="150"/>
        <w:rPr>
          <w:sz w:val="24"/>
        </w:rPr>
      </w:pPr>
      <w:r>
        <w:rPr>
          <w:sz w:val="24"/>
        </w:rPr>
        <w:t>17.对于采购文件中未列明，供应商认为必需的费用也需列入总报价。在合同实施时，采购人将不予支付成交供应商没有列入的项目费用，并认为此项目的费用已包括在总报价中。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 xml:space="preserve">18. </w:t>
      </w:r>
      <w:r>
        <w:rPr>
          <w:rFonts w:hint="eastAsia"/>
          <w:sz w:val="24"/>
        </w:rPr>
        <w:t>报价方式：详见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rPr>
          <w:rFonts w:eastAsia="黑体"/>
          <w:sz w:val="24"/>
        </w:rPr>
      </w:pPr>
      <w:r>
        <w:rPr>
          <w:rFonts w:eastAsia="黑体"/>
          <w:sz w:val="24"/>
        </w:rPr>
        <w:t>五、响应文件封装和递交</w:t>
      </w:r>
    </w:p>
    <w:p>
      <w:pPr>
        <w:spacing w:line="440" w:lineRule="exact"/>
        <w:ind w:left="420" w:hanging="420"/>
        <w:rPr>
          <w:rFonts w:cs="宋体"/>
          <w:sz w:val="24"/>
        </w:rPr>
      </w:pPr>
      <w:r>
        <w:rPr>
          <w:sz w:val="24"/>
        </w:rPr>
        <w:t xml:space="preserve">19. </w:t>
      </w:r>
      <w:r>
        <w:rPr>
          <w:rFonts w:hint="eastAsia"/>
          <w:sz w:val="24"/>
        </w:rPr>
        <w:t>电子响应文件的签章、加密与递交：详见</w:t>
      </w:r>
      <w:r>
        <w:rPr>
          <w:rFonts w:hint="eastAsia" w:cs="宋体"/>
          <w:b/>
          <w:bCs/>
          <w:sz w:val="24"/>
        </w:rPr>
        <w:t>《供应商须知前附表》。</w:t>
      </w:r>
    </w:p>
    <w:p>
      <w:pPr>
        <w:spacing w:line="440" w:lineRule="exact"/>
        <w:ind w:left="420" w:hanging="420"/>
        <w:rPr>
          <w:sz w:val="24"/>
        </w:rPr>
      </w:pPr>
      <w:r>
        <w:rPr>
          <w:rFonts w:hint="eastAsia"/>
          <w:sz w:val="24"/>
        </w:rPr>
        <w:t>1</w:t>
      </w:r>
      <w:r>
        <w:rPr>
          <w:sz w:val="24"/>
        </w:rPr>
        <w:t>9</w:t>
      </w:r>
      <w:r>
        <w:rPr>
          <w:rFonts w:hint="eastAsia"/>
          <w:sz w:val="24"/>
        </w:rPr>
        <w:t>.</w:t>
      </w:r>
      <w:r>
        <w:rPr>
          <w:sz w:val="24"/>
        </w:rPr>
        <w:t>1</w:t>
      </w:r>
      <w:r>
        <w:rPr>
          <w:rFonts w:hint="eastAsia"/>
          <w:sz w:val="24"/>
        </w:rPr>
        <w:t>供应商应充分评估网络影响，尽量避开上传响应文件高峰时间。系统以收到供应商发出的递交指令的时间作为其递交时间，如该时间超过截止时间，其响应文件将会被判定为无效。</w:t>
      </w:r>
    </w:p>
    <w:p>
      <w:pPr>
        <w:spacing w:line="440" w:lineRule="exact"/>
        <w:ind w:left="420" w:hanging="420"/>
        <w:rPr>
          <w:sz w:val="24"/>
        </w:rPr>
      </w:pPr>
      <w:r>
        <w:rPr>
          <w:rFonts w:hint="eastAsia"/>
          <w:sz w:val="24"/>
        </w:rPr>
        <w:t>1</w:t>
      </w:r>
      <w:r>
        <w:rPr>
          <w:sz w:val="24"/>
        </w:rPr>
        <w:t>9</w:t>
      </w:r>
      <w:r>
        <w:rPr>
          <w:rFonts w:hint="eastAsia"/>
          <w:sz w:val="24"/>
        </w:rPr>
        <w:t>.</w:t>
      </w:r>
      <w:r>
        <w:rPr>
          <w:sz w:val="24"/>
        </w:rPr>
        <w:t>2</w:t>
      </w:r>
      <w:r>
        <w:rPr>
          <w:rFonts w:hint="eastAsia"/>
          <w:sz w:val="24"/>
        </w:rPr>
        <w:t>当</w:t>
      </w:r>
      <w:r>
        <w:rPr>
          <w:rFonts w:hint="eastAsia" w:cs="宋体"/>
          <w:sz w:val="24"/>
        </w:rPr>
        <w:t>湖北省政府电子采购平台</w:t>
      </w:r>
      <w:r>
        <w:rPr>
          <w:rFonts w:hint="eastAsia"/>
          <w:sz w:val="24"/>
        </w:rPr>
        <w:t>系统出现不可抗力时，谈判小组可考虑是否启动应急程序。供应商可将网上递交的已盖章未加密的数据文件和响应文件谨慎保存，以便启动应急程序时使用。</w:t>
      </w:r>
    </w:p>
    <w:p>
      <w:pPr>
        <w:spacing w:line="440" w:lineRule="exact"/>
        <w:ind w:left="397" w:leftChars="-1" w:hanging="400" w:hangingChars="167"/>
        <w:rPr>
          <w:sz w:val="24"/>
        </w:rPr>
      </w:pPr>
      <w:r>
        <w:rPr>
          <w:sz w:val="24"/>
        </w:rPr>
        <w:t>2</w:t>
      </w:r>
      <w:r>
        <w:rPr>
          <w:rFonts w:hint="eastAsia"/>
          <w:sz w:val="24"/>
        </w:rPr>
        <w:t>0</w:t>
      </w:r>
      <w:r>
        <w:rPr>
          <w:sz w:val="24"/>
        </w:rPr>
        <w:t xml:space="preserve">. </w:t>
      </w:r>
      <w:r>
        <w:rPr>
          <w:rFonts w:hint="eastAsia" w:cs="宋体"/>
          <w:sz w:val="24"/>
        </w:rPr>
        <w:t>迟交的响应文件：递交响应文件截止时间即为谈判时间，</w:t>
      </w:r>
      <w:r>
        <w:rPr>
          <w:sz w:val="24"/>
        </w:rPr>
        <w:t>集中采购机构或采购人将拒绝</w:t>
      </w:r>
      <w:r>
        <w:rPr>
          <w:rFonts w:hint="eastAsia"/>
          <w:sz w:val="24"/>
        </w:rPr>
        <w:t>接收，</w:t>
      </w:r>
      <w:r>
        <w:rPr>
          <w:sz w:val="24"/>
        </w:rPr>
        <w:t>在其规定的递交</w:t>
      </w:r>
      <w:r>
        <w:rPr>
          <w:rFonts w:hint="eastAsia"/>
          <w:sz w:val="24"/>
        </w:rPr>
        <w:t>响应</w:t>
      </w:r>
      <w:r>
        <w:rPr>
          <w:sz w:val="24"/>
        </w:rPr>
        <w:t>文件截止时间之后</w:t>
      </w:r>
      <w:r>
        <w:rPr>
          <w:rFonts w:hint="eastAsia"/>
          <w:sz w:val="24"/>
        </w:rPr>
        <w:t>递交的任何文件</w:t>
      </w:r>
      <w:r>
        <w:rPr>
          <w:rFonts w:hint="eastAsia" w:cs="宋体"/>
          <w:sz w:val="24"/>
        </w:rPr>
        <w:t>。</w:t>
      </w:r>
    </w:p>
    <w:p>
      <w:pPr>
        <w:spacing w:line="440" w:lineRule="exact"/>
        <w:rPr>
          <w:bCs/>
          <w:sz w:val="24"/>
        </w:rPr>
      </w:pPr>
    </w:p>
    <w:p>
      <w:pPr>
        <w:spacing w:line="440" w:lineRule="exact"/>
        <w:rPr>
          <w:rFonts w:eastAsia="黑体"/>
          <w:bCs/>
          <w:sz w:val="24"/>
        </w:rPr>
      </w:pPr>
      <w:r>
        <w:rPr>
          <w:rFonts w:eastAsia="黑体"/>
          <w:bCs/>
          <w:sz w:val="24"/>
        </w:rPr>
        <w:t>六、谈判小组的组成</w:t>
      </w:r>
      <w:r>
        <w:rPr>
          <w:rFonts w:hint="eastAsia" w:eastAsia="黑体"/>
          <w:bCs/>
          <w:sz w:val="24"/>
        </w:rPr>
        <w:t>、确定供应商名单和评审办法</w:t>
      </w:r>
    </w:p>
    <w:p>
      <w:pPr>
        <w:spacing w:line="440" w:lineRule="exact"/>
        <w:ind w:left="420" w:hanging="420"/>
        <w:rPr>
          <w:rFonts w:cs="宋体"/>
          <w:sz w:val="24"/>
        </w:rPr>
      </w:pPr>
      <w:r>
        <w:rPr>
          <w:sz w:val="24"/>
        </w:rPr>
        <w:t>2</w:t>
      </w:r>
      <w:r>
        <w:rPr>
          <w:rFonts w:hint="eastAsia"/>
          <w:sz w:val="24"/>
        </w:rPr>
        <w:t>1</w:t>
      </w:r>
      <w:r>
        <w:rPr>
          <w:sz w:val="24"/>
        </w:rPr>
        <w:t xml:space="preserve">. </w:t>
      </w:r>
      <w:r>
        <w:rPr>
          <w:rFonts w:hint="eastAsia" w:cs="宋体"/>
          <w:sz w:val="24"/>
        </w:rPr>
        <w:t>本次谈判由集中采购机构依法组建的谈判小组进行，谈判小组负责编制或确定谈判文件、确定供应商名单、响应文件的评审、谈判、根据谈判情况编写评审报告，协助处理质疑等工作。</w:t>
      </w:r>
    </w:p>
    <w:p>
      <w:pPr>
        <w:spacing w:line="440" w:lineRule="exact"/>
        <w:ind w:left="420" w:hanging="420"/>
        <w:rPr>
          <w:rFonts w:cs="宋体"/>
          <w:sz w:val="24"/>
        </w:rPr>
      </w:pPr>
      <w:r>
        <w:rPr>
          <w:rFonts w:hint="eastAsia" w:cs="宋体"/>
          <w:sz w:val="24"/>
        </w:rPr>
        <w:t>22.</w:t>
      </w:r>
      <w:r>
        <w:rPr>
          <w:rFonts w:hint="eastAsia"/>
        </w:rPr>
        <w:t xml:space="preserve"> </w:t>
      </w:r>
      <w:r>
        <w:rPr>
          <w:rFonts w:hint="eastAsia" w:cs="宋体"/>
          <w:sz w:val="24"/>
        </w:rPr>
        <w:t>谈判小组组成：详见</w:t>
      </w:r>
      <w:r>
        <w:rPr>
          <w:rFonts w:hint="eastAsia" w:cs="宋体"/>
          <w:b/>
          <w:bCs/>
          <w:sz w:val="24"/>
        </w:rPr>
        <w:t>《供应商须知前附表》</w:t>
      </w:r>
      <w:r>
        <w:rPr>
          <w:rFonts w:hint="eastAsia" w:cs="宋体"/>
          <w:sz w:val="24"/>
        </w:rPr>
        <w:t>。</w:t>
      </w:r>
    </w:p>
    <w:p>
      <w:pPr>
        <w:spacing w:line="440" w:lineRule="exact"/>
        <w:ind w:left="420" w:hanging="420"/>
        <w:rPr>
          <w:rFonts w:cs="宋体"/>
          <w:sz w:val="24"/>
        </w:rPr>
      </w:pPr>
      <w:r>
        <w:rPr>
          <w:rFonts w:hint="eastAsia" w:cs="宋体"/>
          <w:sz w:val="24"/>
        </w:rPr>
        <w:t>23.</w:t>
      </w:r>
      <w:r>
        <w:rPr>
          <w:rFonts w:cs="宋体"/>
          <w:sz w:val="24"/>
        </w:rPr>
        <w:t xml:space="preserve"> </w:t>
      </w:r>
      <w:r>
        <w:rPr>
          <w:rFonts w:hint="eastAsia" w:cs="宋体"/>
          <w:sz w:val="24"/>
        </w:rPr>
        <w:t>确定供应商名单：详见</w:t>
      </w:r>
      <w:r>
        <w:rPr>
          <w:rFonts w:hint="eastAsia" w:cs="宋体"/>
          <w:b/>
          <w:bCs/>
          <w:sz w:val="24"/>
        </w:rPr>
        <w:t>《供应商须知前附表》</w:t>
      </w:r>
      <w:r>
        <w:rPr>
          <w:rFonts w:hint="eastAsia" w:cs="宋体"/>
          <w:sz w:val="24"/>
        </w:rPr>
        <w:t>。</w:t>
      </w:r>
    </w:p>
    <w:p>
      <w:pPr>
        <w:spacing w:line="440" w:lineRule="exact"/>
        <w:ind w:left="420" w:hanging="420"/>
        <w:rPr>
          <w:rFonts w:cs="宋体"/>
          <w:sz w:val="24"/>
        </w:rPr>
      </w:pPr>
      <w:r>
        <w:rPr>
          <w:rFonts w:hint="eastAsia" w:cs="宋体"/>
          <w:sz w:val="24"/>
        </w:rPr>
        <w:t>24.</w:t>
      </w:r>
      <w:r>
        <w:rPr>
          <w:rFonts w:hint="eastAsia"/>
        </w:rPr>
        <w:t xml:space="preserve"> </w:t>
      </w:r>
      <w:r>
        <w:rPr>
          <w:rFonts w:hint="eastAsia" w:cs="宋体"/>
          <w:sz w:val="24"/>
        </w:rPr>
        <w:t>评审办法：详见</w:t>
      </w:r>
      <w:r>
        <w:rPr>
          <w:rFonts w:hint="eastAsia" w:cs="宋体"/>
          <w:b/>
          <w:bCs/>
          <w:sz w:val="24"/>
        </w:rPr>
        <w:t>《供应商须知前附表》</w:t>
      </w:r>
      <w:r>
        <w:rPr>
          <w:rFonts w:hint="eastAsia" w:cs="宋体"/>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5</w:t>
      </w:r>
      <w:r>
        <w:rPr>
          <w:sz w:val="24"/>
        </w:rPr>
        <w:t xml:space="preserve">. </w:t>
      </w:r>
      <w:r>
        <w:rPr>
          <w:rFonts w:hint="eastAsia"/>
          <w:sz w:val="24"/>
        </w:rPr>
        <w:t>供应商应按</w:t>
      </w:r>
      <w:r>
        <w:rPr>
          <w:rFonts w:hint="eastAsia" w:cs="宋体"/>
          <w:b/>
          <w:bCs/>
          <w:sz w:val="24"/>
        </w:rPr>
        <w:t>《供应商须知前附表》</w:t>
      </w:r>
      <w:r>
        <w:rPr>
          <w:rFonts w:hint="eastAsia" w:cs="宋体"/>
          <w:bCs/>
          <w:sz w:val="24"/>
        </w:rPr>
        <w:t>规定的谈判</w:t>
      </w:r>
      <w:r>
        <w:rPr>
          <w:rFonts w:hint="eastAsia" w:cs="宋体"/>
          <w:sz w:val="24"/>
        </w:rPr>
        <w:t>时间和地点参加谈判。</w:t>
      </w:r>
    </w:p>
    <w:p>
      <w:pPr>
        <w:spacing w:line="440" w:lineRule="exact"/>
        <w:ind w:left="420" w:hanging="420"/>
        <w:rPr>
          <w:rFonts w:cs="宋体"/>
          <w:sz w:val="24"/>
        </w:rPr>
      </w:pPr>
      <w:r>
        <w:rPr>
          <w:sz w:val="24"/>
        </w:rPr>
        <w:t>2</w:t>
      </w:r>
      <w:r>
        <w:rPr>
          <w:rFonts w:hint="eastAsia"/>
          <w:sz w:val="24"/>
        </w:rPr>
        <w:t>6</w:t>
      </w:r>
      <w:r>
        <w:rPr>
          <w:sz w:val="24"/>
        </w:rPr>
        <w:t xml:space="preserve">. </w:t>
      </w:r>
      <w:r>
        <w:rPr>
          <w:rFonts w:hint="eastAsia" w:cs="宋体"/>
          <w:sz w:val="24"/>
        </w:rPr>
        <w:t>本项目实行全流程电子化操作，</w:t>
      </w:r>
      <w:r>
        <w:rPr>
          <w:rFonts w:hint="eastAsia" w:cs="宋体"/>
          <w:bCs/>
          <w:sz w:val="24"/>
        </w:rPr>
        <w:t>供应商应按照</w:t>
      </w:r>
      <w:r>
        <w:rPr>
          <w:rFonts w:hint="eastAsia" w:cs="宋体"/>
          <w:sz w:val="24"/>
        </w:rPr>
        <w:t>湖北省政府电子采购平台要求，熟悉并完成网上所有操作流程，否则，</w:t>
      </w:r>
      <w:r>
        <w:rPr>
          <w:rFonts w:hint="eastAsia" w:cs="宋体"/>
          <w:b/>
          <w:bCs/>
          <w:sz w:val="24"/>
        </w:rPr>
        <w:t>响应文件无效</w:t>
      </w:r>
      <w:r>
        <w:rPr>
          <w:rFonts w:hint="eastAsia" w:cs="宋体"/>
          <w:sz w:val="24"/>
        </w:rPr>
        <w:t>。</w:t>
      </w:r>
    </w:p>
    <w:p>
      <w:pPr>
        <w:spacing w:line="440" w:lineRule="exact"/>
        <w:ind w:left="420" w:hanging="420"/>
        <w:rPr>
          <w:sz w:val="24"/>
        </w:rPr>
      </w:pPr>
      <w:r>
        <w:rPr>
          <w:rFonts w:hint="eastAsia"/>
          <w:sz w:val="24"/>
        </w:rPr>
        <w:t>26.1</w:t>
      </w:r>
      <w:r>
        <w:rPr>
          <w:rFonts w:hint="eastAsia" w:cs="宋体"/>
          <w:sz w:val="24"/>
        </w:rPr>
        <w:t>供应商授权代表应携带湖北省政府电子采购平台具有电子签章功能的CA锁到谈判现场解密响应文件，并参加谈判过程。为了确保视频谈判效果，建议供应商携带安装湖北省政府采购电子平台相关软件，且调试完好的计算机参加谈判。</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资格性检查和符合性检查。谈判小组根据谈判文件规定的供应商资格条件、评定成交的标准等事项，对供应商在湖北省政府电子采购平台提交的响应文件进行评审。资格性检查和符合性检查不符合谈判文件要求的响应文件，按无效文件处理，不进入谈判，并告知有关供应商。</w:t>
      </w:r>
    </w:p>
    <w:p>
      <w:pPr>
        <w:spacing w:line="440" w:lineRule="exact"/>
        <w:ind w:left="420" w:hanging="420"/>
        <w:rPr>
          <w:sz w:val="24"/>
        </w:rPr>
      </w:pPr>
      <w:r>
        <w:rPr>
          <w:rFonts w:hint="eastAsia"/>
          <w:sz w:val="24"/>
        </w:rPr>
        <w:t>28</w:t>
      </w:r>
      <w:r>
        <w:rPr>
          <w:sz w:val="24"/>
        </w:rPr>
        <w:t xml:space="preserve">. </w:t>
      </w:r>
      <w:r>
        <w:rPr>
          <w:rFonts w:hint="eastAsia" w:cs="宋体"/>
          <w:sz w:val="24"/>
        </w:rPr>
        <w:t>第一轮谈判</w:t>
      </w:r>
    </w:p>
    <w:p>
      <w:pPr>
        <w:spacing w:line="440" w:lineRule="exact"/>
        <w:ind w:left="360" w:hanging="360" w:hangingChars="150"/>
        <w:rPr>
          <w:sz w:val="24"/>
        </w:rPr>
      </w:pPr>
      <w:r>
        <w:rPr>
          <w:rFonts w:hint="eastAsia"/>
          <w:sz w:val="24"/>
        </w:rPr>
        <w:t>28</w:t>
      </w:r>
      <w:r>
        <w:rPr>
          <w:sz w:val="24"/>
        </w:rPr>
        <w:t>.1</w:t>
      </w:r>
      <w:r>
        <w:rPr>
          <w:rFonts w:hint="eastAsia" w:cs="宋体"/>
          <w:sz w:val="24"/>
        </w:rPr>
        <w:t>谈判小组将按照随机抽签的顺序决定供应商的谈判顺序，并与单一供应商分别进行视频谈判。</w:t>
      </w:r>
    </w:p>
    <w:p>
      <w:pPr>
        <w:spacing w:line="440" w:lineRule="exact"/>
        <w:ind w:left="360" w:hanging="360" w:hangingChars="150"/>
        <w:rPr>
          <w:sz w:val="24"/>
        </w:rPr>
      </w:pPr>
      <w:r>
        <w:rPr>
          <w:rFonts w:hint="eastAsia"/>
          <w:sz w:val="24"/>
        </w:rPr>
        <w:t>28</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rFonts w:hint="eastAsia"/>
          <w:sz w:val="24"/>
        </w:rPr>
        <w:t>29</w:t>
      </w:r>
      <w:r>
        <w:rPr>
          <w:sz w:val="24"/>
        </w:rPr>
        <w:t>.</w:t>
      </w:r>
      <w:r>
        <w:rPr>
          <w:rFonts w:hint="eastAsia"/>
          <w:sz w:val="24"/>
        </w:rPr>
        <w:t xml:space="preserve"> </w:t>
      </w:r>
      <w:r>
        <w:rPr>
          <w:rFonts w:hint="eastAsia" w:cs="宋体"/>
          <w:sz w:val="24"/>
        </w:rPr>
        <w:t>响应文件的澄清和说明</w:t>
      </w:r>
    </w:p>
    <w:p>
      <w:pPr>
        <w:spacing w:line="440" w:lineRule="exact"/>
        <w:ind w:left="360" w:hanging="360" w:hangingChars="150"/>
        <w:rPr>
          <w:sz w:val="24"/>
        </w:rPr>
      </w:pPr>
      <w:r>
        <w:rPr>
          <w:rFonts w:hint="eastAsia"/>
          <w:sz w:val="24"/>
        </w:rPr>
        <w:t>29.1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rFonts w:hint="eastAsia"/>
          <w:sz w:val="24"/>
        </w:rPr>
        <w:t>29.2</w:t>
      </w:r>
      <w:r>
        <w:rPr>
          <w:rFonts w:hint="eastAsia" w:cs="宋体"/>
          <w:sz w:val="24"/>
        </w:rPr>
        <w:t>谈判小组要求供应商澄清、说明或者更正响应文件时，在系统平台上以书面形式作出。供应商的澄清、说明或者更正应采用湖北省政府电子采购平台CA锁，在系统平台上加盖印章，并提交。</w:t>
      </w:r>
    </w:p>
    <w:p>
      <w:pPr>
        <w:spacing w:line="440" w:lineRule="exact"/>
        <w:ind w:left="360" w:hanging="360" w:hangingChars="150"/>
        <w:rPr>
          <w:sz w:val="24"/>
        </w:rPr>
      </w:pPr>
      <w:r>
        <w:rPr>
          <w:rFonts w:hint="eastAsia"/>
          <w:sz w:val="24"/>
        </w:rPr>
        <w:t>29.3</w:t>
      </w:r>
      <w:r>
        <w:rPr>
          <w:rFonts w:hint="eastAsia" w:cs="宋体"/>
          <w:sz w:val="24"/>
        </w:rPr>
        <w:t>供应商可以对参加谈判项目的采购需求提出优化建议，并通过湖北省政府电子采购平台提交谈判小组。</w:t>
      </w:r>
    </w:p>
    <w:p>
      <w:pPr>
        <w:spacing w:line="440" w:lineRule="exact"/>
        <w:ind w:left="360" w:hanging="360" w:hangingChars="150"/>
        <w:rPr>
          <w:sz w:val="24"/>
        </w:rPr>
      </w:pPr>
      <w:r>
        <w:rPr>
          <w:sz w:val="24"/>
        </w:rPr>
        <w:t>3</w:t>
      </w:r>
      <w:r>
        <w:rPr>
          <w:rFonts w:hint="eastAsia"/>
          <w:sz w:val="24"/>
        </w:rPr>
        <w:t>0</w:t>
      </w:r>
      <w:r>
        <w:rPr>
          <w:sz w:val="24"/>
        </w:rPr>
        <w:t>.</w:t>
      </w:r>
      <w:r>
        <w:rPr>
          <w:rFonts w:hint="eastAsia"/>
          <w:sz w:val="24"/>
        </w:rPr>
        <w:t xml:space="preserve"> </w:t>
      </w:r>
      <w:r>
        <w:rPr>
          <w:rFonts w:hint="eastAsia" w:cs="宋体"/>
          <w:sz w:val="24"/>
        </w:rPr>
        <w:t>谈判小组按谈判文件设定的方法和标准确定供应商符合谈判文件要求的，该供应商即为合格的供应商。</w:t>
      </w:r>
    </w:p>
    <w:p>
      <w:pPr>
        <w:spacing w:line="440" w:lineRule="exact"/>
        <w:ind w:left="363" w:leftChars="1" w:hanging="360" w:hangingChars="150"/>
        <w:rPr>
          <w:sz w:val="24"/>
        </w:rPr>
      </w:pPr>
      <w:r>
        <w:rPr>
          <w:sz w:val="24"/>
        </w:rPr>
        <w:t>31.</w:t>
      </w:r>
      <w:r>
        <w:rPr>
          <w:rFonts w:hint="eastAsia"/>
          <w:sz w:val="24"/>
        </w:rPr>
        <w:t xml:space="preserve"> </w:t>
      </w:r>
      <w:r>
        <w:rPr>
          <w:rFonts w:hint="eastAsia" w:cs="宋体"/>
          <w:sz w:val="24"/>
        </w:rPr>
        <w:t>第一轮谈判后，谈判小组可根据采购项目的特点、采购人的实际需求及与各供应商的谈判情况对谈判文件作出实质性变动，并进行下一轮谈判，或直接进入最后报价。变动后的谈判文件至少有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3</w:t>
      </w:r>
      <w:r>
        <w:rPr>
          <w:rFonts w:hint="eastAsia"/>
          <w:sz w:val="24"/>
        </w:rPr>
        <w:t>2</w:t>
      </w:r>
      <w:r>
        <w:rPr>
          <w:sz w:val="24"/>
        </w:rPr>
        <w:t>.</w:t>
      </w:r>
      <w:r>
        <w:rPr>
          <w:rFonts w:hint="eastAsia"/>
          <w:sz w:val="24"/>
        </w:rPr>
        <w:t xml:space="preserve"> </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3</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3</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3</w:t>
      </w:r>
      <w:r>
        <w:rPr>
          <w:rFonts w:hint="eastAsia"/>
          <w:sz w:val="24"/>
        </w:rPr>
        <w:t>3</w:t>
      </w:r>
      <w:r>
        <w:rPr>
          <w:sz w:val="24"/>
        </w:rPr>
        <w:t>.2</w:t>
      </w:r>
      <w:r>
        <w:rPr>
          <w:rFonts w:hint="eastAsia" w:cs="宋体"/>
          <w:sz w:val="24"/>
        </w:rPr>
        <w:t>谈判小组将谈判文件的修改结果通过系统平台通知所有参加谈判的供应商。</w:t>
      </w:r>
    </w:p>
    <w:p>
      <w:pPr>
        <w:spacing w:line="440" w:lineRule="exact"/>
        <w:ind w:left="363" w:leftChars="1" w:hanging="360" w:hangingChars="150"/>
        <w:rPr>
          <w:sz w:val="24"/>
        </w:rPr>
      </w:pPr>
      <w:r>
        <w:rPr>
          <w:sz w:val="24"/>
        </w:rPr>
        <w:t>3</w:t>
      </w:r>
      <w:r>
        <w:rPr>
          <w:rFonts w:hint="eastAsia"/>
          <w:sz w:val="24"/>
        </w:rPr>
        <w:t>3</w:t>
      </w:r>
      <w:r>
        <w:rPr>
          <w:sz w:val="24"/>
        </w:rPr>
        <w:t>.3</w:t>
      </w:r>
      <w:r>
        <w:rPr>
          <w:rFonts w:hint="eastAsia" w:cs="宋体"/>
          <w:sz w:val="24"/>
        </w:rPr>
        <w:t>供应商根据第一轮谈判情况和谈判文件修改书面通知，对原响应文件进行修正，并将修正文件通过湖北省政府电子采购平台CA锁签字盖章后递交谈判小组。逾时不交的，视同放弃谈判。修正文件与响应文件同具法律效应。</w:t>
      </w:r>
    </w:p>
    <w:p>
      <w:pPr>
        <w:spacing w:line="440" w:lineRule="exact"/>
        <w:ind w:left="363" w:leftChars="1" w:hanging="360" w:hangingChars="150"/>
        <w:rPr>
          <w:sz w:val="24"/>
        </w:rPr>
      </w:pPr>
      <w:r>
        <w:rPr>
          <w:sz w:val="24"/>
        </w:rPr>
        <w:t>3</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对无法详细描述需求，需要供应商提供设计或者解决方案的项目，谈判小组可以根据采购人对需求确认情况，进行多轮谈判，直至采购人代表最后确认采购需求为止。</w:t>
      </w:r>
    </w:p>
    <w:p>
      <w:pPr>
        <w:spacing w:line="440" w:lineRule="exact"/>
        <w:rPr>
          <w:sz w:val="24"/>
        </w:rPr>
      </w:pPr>
      <w:r>
        <w:rPr>
          <w:sz w:val="24"/>
        </w:rPr>
        <w:t>3</w:t>
      </w:r>
      <w:r>
        <w:rPr>
          <w:rFonts w:hint="eastAsia"/>
          <w:sz w:val="24"/>
        </w:rPr>
        <w:t xml:space="preserve">4. </w:t>
      </w:r>
      <w:r>
        <w:rPr>
          <w:rFonts w:hint="eastAsia" w:cs="宋体"/>
          <w:sz w:val="24"/>
        </w:rPr>
        <w:t>第二轮谈判</w:t>
      </w:r>
    </w:p>
    <w:p>
      <w:pPr>
        <w:spacing w:line="440" w:lineRule="exact"/>
        <w:rPr>
          <w:sz w:val="24"/>
        </w:rPr>
      </w:pPr>
      <w:r>
        <w:rPr>
          <w:sz w:val="24"/>
        </w:rPr>
        <w:t>3</w:t>
      </w:r>
      <w:r>
        <w:rPr>
          <w:rFonts w:hint="eastAsia"/>
          <w:sz w:val="24"/>
        </w:rPr>
        <w:t>4</w:t>
      </w:r>
      <w:r>
        <w:rPr>
          <w:sz w:val="24"/>
        </w:rPr>
        <w:t>.1</w:t>
      </w:r>
      <w:r>
        <w:rPr>
          <w:rFonts w:hint="eastAsia" w:cs="宋体"/>
          <w:sz w:val="24"/>
        </w:rPr>
        <w:t>谈判小组就修正后的谈判文件与供应商分别进行谈判。</w:t>
      </w:r>
    </w:p>
    <w:p>
      <w:pPr>
        <w:spacing w:line="440" w:lineRule="exact"/>
        <w:ind w:left="363" w:leftChars="1" w:hanging="360" w:hangingChars="150"/>
        <w:rPr>
          <w:sz w:val="24"/>
        </w:rPr>
      </w:pPr>
      <w:r>
        <w:rPr>
          <w:sz w:val="24"/>
        </w:rPr>
        <w:t>3</w:t>
      </w:r>
      <w:r>
        <w:rPr>
          <w:rFonts w:hint="eastAsia"/>
          <w:sz w:val="24"/>
        </w:rPr>
        <w:t>4</w:t>
      </w:r>
      <w:r>
        <w:rPr>
          <w:sz w:val="24"/>
        </w:rPr>
        <w:t>.2</w:t>
      </w:r>
      <w:r>
        <w:rPr>
          <w:rFonts w:hint="eastAsia" w:cs="宋体"/>
          <w:sz w:val="24"/>
        </w:rPr>
        <w:t>第二轮谈判结束后，实质性响应谈判文件及变动后谈判文件要求的供应商不足</w:t>
      </w:r>
      <w:r>
        <w:rPr>
          <w:sz w:val="24"/>
        </w:rPr>
        <w:t>3</w:t>
      </w:r>
      <w:r>
        <w:rPr>
          <w:rFonts w:hint="eastAsia" w:cs="宋体"/>
          <w:sz w:val="24"/>
        </w:rPr>
        <w:t>家的，按照上一轮谈判程序办理，以此类推。</w:t>
      </w:r>
    </w:p>
    <w:p>
      <w:pPr>
        <w:spacing w:line="440" w:lineRule="exact"/>
        <w:rPr>
          <w:sz w:val="24"/>
        </w:rPr>
      </w:pPr>
      <w:r>
        <w:rPr>
          <w:sz w:val="24"/>
        </w:rPr>
        <w:t>3</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3</w:t>
      </w:r>
      <w:r>
        <w:rPr>
          <w:rFonts w:hint="eastAsia"/>
          <w:sz w:val="24"/>
        </w:rPr>
        <w:t>5</w:t>
      </w:r>
      <w:r>
        <w:rPr>
          <w:sz w:val="24"/>
        </w:rPr>
        <w:t>.1</w:t>
      </w:r>
      <w:r>
        <w:rPr>
          <w:rFonts w:hint="eastAsia" w:cs="宋体"/>
          <w:sz w:val="24"/>
        </w:rPr>
        <w:t>谈判小组对谈判文件中能够详细列明采购标的的技术、服务要求的，在谈判结束后，要求所有继续参加谈判合格的供应商，在规定时间内，通过湖北省政府电子采购平台提交最后报价。</w:t>
      </w:r>
    </w:p>
    <w:p>
      <w:pPr>
        <w:spacing w:line="440" w:lineRule="exact"/>
        <w:ind w:left="363" w:leftChars="1" w:hanging="360" w:hangingChars="150"/>
        <w:rPr>
          <w:rFonts w:cs="宋体"/>
          <w:sz w:val="24"/>
        </w:rPr>
      </w:pPr>
      <w:r>
        <w:rPr>
          <w:sz w:val="24"/>
        </w:rPr>
        <w:t>3</w:t>
      </w:r>
      <w:r>
        <w:rPr>
          <w:rFonts w:hint="eastAsia"/>
          <w:sz w:val="24"/>
        </w:rPr>
        <w:t>5</w:t>
      </w:r>
      <w:r>
        <w:rPr>
          <w:sz w:val="24"/>
        </w:rPr>
        <w:t>.2</w:t>
      </w:r>
      <w:r>
        <w:rPr>
          <w:rFonts w:hint="eastAsia" w:cs="宋体"/>
          <w:sz w:val="24"/>
        </w:rPr>
        <w:t>谈判小组对谈判文件中不能详细描述和列明采购标的的技术、服务要求，需通过谈判由供应商提供最后设计方案或解决方案的，在谈判结束后，谈判小组按照少数服从多数的原则投票推荐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家以上合格供应商的设计方案或者解决方案，并要求其在规定时间内，通过湖北省政府电子采购平台提交最后报价。</w:t>
      </w:r>
    </w:p>
    <w:p>
      <w:pPr>
        <w:spacing w:line="440" w:lineRule="exact"/>
        <w:ind w:left="363" w:leftChars="1" w:hanging="360" w:hangingChars="150"/>
        <w:rPr>
          <w:sz w:val="24"/>
        </w:rPr>
      </w:pPr>
      <w:r>
        <w:rPr>
          <w:rFonts w:cs="宋体"/>
          <w:sz w:val="24"/>
        </w:rPr>
        <w:t>3</w:t>
      </w:r>
      <w:r>
        <w:rPr>
          <w:rFonts w:hint="eastAsia" w:cs="宋体"/>
          <w:sz w:val="24"/>
        </w:rPr>
        <w:t>5.3最后报价是供应商响应文件的有效组成部分。</w:t>
      </w:r>
    </w:p>
    <w:p>
      <w:pPr>
        <w:spacing w:line="440" w:lineRule="exact"/>
        <w:ind w:left="363" w:leftChars="1" w:hanging="360" w:hangingChars="150"/>
        <w:rPr>
          <w:rFonts w:cs="宋体"/>
          <w:sz w:val="24"/>
        </w:rPr>
      </w:pPr>
      <w:r>
        <w:rPr>
          <w:sz w:val="24"/>
        </w:rPr>
        <w:t>3</w:t>
      </w:r>
      <w:r>
        <w:rPr>
          <w:rFonts w:hint="eastAsia"/>
          <w:sz w:val="24"/>
        </w:rPr>
        <w:t>5</w:t>
      </w:r>
      <w:r>
        <w:rPr>
          <w:sz w:val="24"/>
        </w:rPr>
        <w:t>.4</w:t>
      </w:r>
      <w:r>
        <w:rPr>
          <w:rFonts w:hint="eastAsia" w:cs="宋体"/>
          <w:sz w:val="24"/>
        </w:rPr>
        <w:t>供应商的报价均超过了政府采购预算或报价未超过采购预算的供应商不足三家的，谈判活动终止。</w:t>
      </w:r>
    </w:p>
    <w:p>
      <w:pPr>
        <w:spacing w:line="440" w:lineRule="exact"/>
        <w:ind w:left="363" w:leftChars="1" w:hanging="360" w:hangingChars="150"/>
        <w:rPr>
          <w:rFonts w:cs="宋体"/>
          <w:sz w:val="24"/>
        </w:rPr>
      </w:pPr>
      <w:r>
        <w:rPr>
          <w:rFonts w:hint="eastAsia" w:cs="宋体"/>
          <w:sz w:val="24"/>
        </w:rPr>
        <w:t>36.</w:t>
      </w:r>
      <w:r>
        <w:rPr>
          <w:rFonts w:hint="eastAsia"/>
          <w:sz w:val="24"/>
        </w:rPr>
        <w:t xml:space="preserve"> 谈判小组决定响应文件的响应性，只根据响应文件本身的真实无误的内容，而不依据外部的证据，但响应文件有不真实不正确的内容时除外。</w:t>
      </w:r>
    </w:p>
    <w:p>
      <w:pPr>
        <w:spacing w:line="440" w:lineRule="exact"/>
        <w:ind w:left="363" w:leftChars="1" w:hanging="360" w:hangingChars="150"/>
        <w:rPr>
          <w:bCs/>
          <w:sz w:val="24"/>
        </w:rPr>
      </w:pPr>
      <w:r>
        <w:rPr>
          <w:bCs/>
          <w:sz w:val="24"/>
        </w:rPr>
        <w:t>3</w:t>
      </w:r>
      <w:r>
        <w:rPr>
          <w:rFonts w:hint="eastAsia"/>
          <w:bCs/>
          <w:sz w:val="24"/>
        </w:rPr>
        <w:t>7.</w:t>
      </w:r>
      <w:r>
        <w:rPr>
          <w:rFonts w:hint="eastAsia"/>
        </w:rPr>
        <w:t xml:space="preserve"> </w:t>
      </w:r>
      <w:r>
        <w:rPr>
          <w:rFonts w:hint="eastAsia"/>
          <w:bCs/>
          <w:sz w:val="24"/>
        </w:rPr>
        <w:t>落实政府采购政策</w:t>
      </w:r>
    </w:p>
    <w:p>
      <w:pPr>
        <w:spacing w:line="440" w:lineRule="exact"/>
        <w:ind w:left="363" w:leftChars="1" w:hanging="360" w:hangingChars="150"/>
        <w:rPr>
          <w:bCs/>
          <w:sz w:val="24"/>
        </w:rPr>
      </w:pPr>
      <w:r>
        <w:rPr>
          <w:bCs/>
          <w:sz w:val="24"/>
        </w:rPr>
        <w:t>3</w:t>
      </w:r>
      <w:r>
        <w:rPr>
          <w:rFonts w:hint="eastAsia"/>
          <w:bCs/>
          <w:sz w:val="24"/>
        </w:rPr>
        <w:t>7</w:t>
      </w:r>
      <w:r>
        <w:rPr>
          <w:bCs/>
          <w:sz w:val="24"/>
        </w:rPr>
        <w:t>.1</w:t>
      </w:r>
      <w:r>
        <w:rPr>
          <w:rFonts w:hint="eastAsia"/>
          <w:bCs/>
          <w:sz w:val="24"/>
        </w:rPr>
        <w:t>本项目是否专门面向中小企业</w:t>
      </w:r>
      <w:r>
        <w:rPr>
          <w:sz w:val="24"/>
        </w:rPr>
        <w:t>、监狱企业、残疾人福利性单位</w:t>
      </w:r>
      <w:r>
        <w:rPr>
          <w:rFonts w:hint="eastAsia"/>
          <w:bCs/>
          <w:sz w:val="24"/>
        </w:rPr>
        <w:t>，见</w:t>
      </w:r>
      <w:r>
        <w:rPr>
          <w:rFonts w:hint="eastAsia" w:cs="宋体"/>
          <w:b/>
          <w:bCs/>
          <w:sz w:val="24"/>
        </w:rPr>
        <w:t>《供应商须知前附表》</w:t>
      </w:r>
      <w:r>
        <w:rPr>
          <w:rFonts w:hint="eastAsia"/>
          <w:bCs/>
          <w:sz w:val="24"/>
        </w:rPr>
        <w:t>。</w:t>
      </w:r>
    </w:p>
    <w:p>
      <w:pPr>
        <w:spacing w:line="440" w:lineRule="exact"/>
        <w:ind w:left="363" w:leftChars="1" w:hanging="360" w:hangingChars="150"/>
        <w:rPr>
          <w:bCs/>
          <w:sz w:val="24"/>
        </w:rPr>
      </w:pPr>
      <w:r>
        <w:rPr>
          <w:rFonts w:hint="eastAsia"/>
          <w:bCs/>
          <w:sz w:val="24"/>
        </w:rPr>
        <w:t>37.2</w:t>
      </w:r>
      <w:r>
        <w:rPr>
          <w:bCs/>
          <w:sz w:val="24"/>
        </w:rPr>
        <w:t>按</w:t>
      </w:r>
      <w:r>
        <w:rPr>
          <w:rFonts w:hint="eastAsia" w:cs="宋体"/>
          <w:b/>
          <w:bCs/>
          <w:sz w:val="24"/>
        </w:rPr>
        <w:t>《供应商须知前附表》</w:t>
      </w:r>
      <w:r>
        <w:rPr>
          <w:bCs/>
          <w:sz w:val="24"/>
        </w:rPr>
        <w:t>规定，</w:t>
      </w:r>
      <w:r>
        <w:rPr>
          <w:rFonts w:hint="eastAsia"/>
          <w:bCs/>
          <w:sz w:val="24"/>
        </w:rPr>
        <w:t>供应商</w:t>
      </w:r>
      <w:r>
        <w:rPr>
          <w:bCs/>
          <w:sz w:val="24"/>
        </w:rPr>
        <w:t>所投产品不符合政府采购强制产品要求的，其</w:t>
      </w:r>
      <w:r>
        <w:rPr>
          <w:rFonts w:hint="eastAsia"/>
          <w:b/>
          <w:bCs/>
          <w:sz w:val="24"/>
        </w:rPr>
        <w:t>响应文件无效</w:t>
      </w:r>
      <w:r>
        <w:rPr>
          <w:bCs/>
          <w:sz w:val="24"/>
        </w:rPr>
        <w:t>。</w:t>
      </w:r>
    </w:p>
    <w:p>
      <w:pPr>
        <w:spacing w:line="440" w:lineRule="exact"/>
        <w:ind w:left="363" w:leftChars="1" w:hanging="360" w:hangingChars="150"/>
        <w:rPr>
          <w:sz w:val="24"/>
        </w:rPr>
      </w:pPr>
      <w:r>
        <w:rPr>
          <w:rFonts w:hint="eastAsia"/>
          <w:sz w:val="24"/>
        </w:rPr>
        <w:t>37.3本项目适用</w:t>
      </w:r>
      <w:r>
        <w:rPr>
          <w:sz w:val="24"/>
        </w:rPr>
        <w:t>中小企业划分标准所属行业</w:t>
      </w:r>
      <w:r>
        <w:rPr>
          <w:rFonts w:hint="eastAsia"/>
          <w:sz w:val="24"/>
        </w:rPr>
        <w:t>，见</w:t>
      </w:r>
      <w:r>
        <w:rPr>
          <w:rFonts w:hint="eastAsia" w:cs="宋体"/>
          <w:b/>
          <w:bCs/>
          <w:sz w:val="24"/>
        </w:rPr>
        <w:t>《供应商须知前附表》</w:t>
      </w:r>
      <w:r>
        <w:rPr>
          <w:rFonts w:hint="eastAsia"/>
          <w:b/>
          <w:bCs/>
          <w:sz w:val="24"/>
        </w:rPr>
        <w:t>。</w:t>
      </w:r>
    </w:p>
    <w:p>
      <w:pPr>
        <w:spacing w:line="440" w:lineRule="exact"/>
        <w:ind w:left="363" w:leftChars="1" w:hanging="360" w:hangingChars="150"/>
        <w:rPr>
          <w:sz w:val="24"/>
        </w:rPr>
      </w:pPr>
      <w:r>
        <w:rPr>
          <w:sz w:val="24"/>
        </w:rPr>
        <w:t>3</w:t>
      </w:r>
      <w:r>
        <w:rPr>
          <w:rFonts w:hint="eastAsia"/>
          <w:sz w:val="24"/>
        </w:rPr>
        <w:t>7</w:t>
      </w:r>
      <w:r>
        <w:rPr>
          <w:sz w:val="24"/>
        </w:rPr>
        <w:t>.</w:t>
      </w:r>
      <w:r>
        <w:rPr>
          <w:rFonts w:hint="eastAsia"/>
          <w:sz w:val="24"/>
        </w:rPr>
        <w:t>4</w:t>
      </w:r>
      <w:r>
        <w:rPr>
          <w:sz w:val="24"/>
        </w:rPr>
        <w:t>小型和微型企业、监狱企业或残疾人福利性单位参加非专门面向中小企业、监狱企业或残疾人福利性单位采购项目</w:t>
      </w:r>
      <w:r>
        <w:rPr>
          <w:rFonts w:hint="eastAsia"/>
          <w:sz w:val="24"/>
        </w:rPr>
        <w:t>，</w:t>
      </w:r>
      <w:r>
        <w:rPr>
          <w:sz w:val="24"/>
        </w:rPr>
        <w:t>提供本企业制造的产品、承担的工程或者服务，或者提供其他小型和微型企业、监狱企业或残疾人福利性单位制造的产品参加投标的，给予</w:t>
      </w:r>
      <w:r>
        <w:rPr>
          <w:rFonts w:hint="eastAsia" w:cs="宋体"/>
          <w:b/>
          <w:bCs/>
          <w:sz w:val="24"/>
        </w:rPr>
        <w:t>《供应商须知前附表》</w:t>
      </w:r>
      <w:r>
        <w:rPr>
          <w:sz w:val="24"/>
        </w:rPr>
        <w:t>确定比例进行价格扣除</w:t>
      </w:r>
      <w:r>
        <w:rPr>
          <w:rFonts w:hint="eastAsia"/>
          <w:sz w:val="24"/>
        </w:rPr>
        <w:t>，</w:t>
      </w:r>
      <w:r>
        <w:rPr>
          <w:sz w:val="24"/>
        </w:rPr>
        <w:t>用扣除后的价格参与评审。</w:t>
      </w:r>
      <w:r>
        <w:rPr>
          <w:rFonts w:hint="eastAsia"/>
          <w:sz w:val="24"/>
        </w:rPr>
        <w:t>符合中小企业划分标准的个体工商户，在政府采购活动中视同中小企业。</w:t>
      </w:r>
    </w:p>
    <w:p>
      <w:pPr>
        <w:spacing w:line="440" w:lineRule="exact"/>
        <w:ind w:left="363" w:leftChars="1" w:hanging="360" w:hangingChars="150"/>
        <w:rPr>
          <w:sz w:val="24"/>
        </w:rPr>
      </w:pPr>
      <w:r>
        <w:rPr>
          <w:sz w:val="24"/>
        </w:rPr>
        <w:t>3</w:t>
      </w:r>
      <w:r>
        <w:rPr>
          <w:rFonts w:hint="eastAsia"/>
          <w:sz w:val="24"/>
        </w:rPr>
        <w:t>7</w:t>
      </w:r>
      <w:r>
        <w:rPr>
          <w:sz w:val="24"/>
        </w:rPr>
        <w:t>.</w:t>
      </w:r>
      <w:r>
        <w:rPr>
          <w:rFonts w:hint="eastAsia"/>
          <w:sz w:val="24"/>
        </w:rPr>
        <w:t>5</w:t>
      </w:r>
      <w:r>
        <w:rPr>
          <w:sz w:val="24"/>
        </w:rPr>
        <w:t>小型和微型企业、监狱企业或残疾人福利性单位提供本企业制造的产品、承担的工程或者服务的，应出具《中小企业声明函》、《残疾人福利性单位声明函》或属于监狱企业的证明文件等原件。提供其他小型和微型企业、监狱企业或残疾人福利性单位制造的产品的</w:t>
      </w:r>
      <w:r>
        <w:rPr>
          <w:rFonts w:hint="eastAsia"/>
          <w:sz w:val="24"/>
        </w:rPr>
        <w:t>,</w:t>
      </w:r>
      <w:r>
        <w:rPr>
          <w:sz w:val="24"/>
        </w:rPr>
        <w:t>应出具所提供产品制造企业的《中小企业声明函》、《残疾人福利性单位声明函》或属于监狱企业的证明文件等原件。</w:t>
      </w:r>
    </w:p>
    <w:p>
      <w:pPr>
        <w:spacing w:line="440" w:lineRule="exact"/>
        <w:ind w:left="363" w:leftChars="1" w:hanging="360" w:hangingChars="150"/>
        <w:rPr>
          <w:sz w:val="24"/>
        </w:rPr>
      </w:pPr>
      <w:r>
        <w:rPr>
          <w:rFonts w:hint="eastAsia"/>
          <w:sz w:val="24"/>
        </w:rPr>
        <w:t>37.6</w:t>
      </w:r>
      <w:r>
        <w:rPr>
          <w:sz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w:t>
      </w:r>
      <w:r>
        <w:rPr>
          <w:rFonts w:hint="eastAsia"/>
          <w:sz w:val="24"/>
        </w:rPr>
        <w:t>,</w:t>
      </w:r>
      <w:r>
        <w:rPr>
          <w:sz w:val="24"/>
        </w:rPr>
        <w:t>不重复享受政策。</w:t>
      </w:r>
    </w:p>
    <w:p>
      <w:pPr>
        <w:spacing w:line="440" w:lineRule="exact"/>
        <w:ind w:left="363" w:leftChars="1" w:hanging="360" w:hangingChars="150"/>
        <w:rPr>
          <w:sz w:val="24"/>
        </w:rPr>
      </w:pPr>
      <w:r>
        <w:rPr>
          <w:sz w:val="24"/>
        </w:rPr>
        <w:t>3</w:t>
      </w:r>
      <w:r>
        <w:rPr>
          <w:rFonts w:hint="eastAsia"/>
          <w:sz w:val="24"/>
        </w:rPr>
        <w:t>7</w:t>
      </w:r>
      <w:r>
        <w:rPr>
          <w:sz w:val="24"/>
        </w:rPr>
        <w:t>.</w:t>
      </w:r>
      <w:r>
        <w:rPr>
          <w:rFonts w:hint="eastAsia"/>
          <w:sz w:val="24"/>
        </w:rPr>
        <w:t>7</w:t>
      </w:r>
      <w:r>
        <w:rPr>
          <w:sz w:val="24"/>
        </w:rPr>
        <w:t>大中型企业与小微企业组成联合体或者允许大中型企业向一家或者多家小微企业分包的</w:t>
      </w:r>
      <w:r>
        <w:rPr>
          <w:rFonts w:hint="eastAsia"/>
          <w:sz w:val="24"/>
        </w:rPr>
        <w:t>采购项目</w:t>
      </w:r>
      <w:r>
        <w:rPr>
          <w:sz w:val="24"/>
        </w:rPr>
        <w:t>，对于联合协议或者分包意向协议约定小微企业的合同份额占到合同总金额40%以上的，对联合体或者大中型企业的报价</w:t>
      </w:r>
      <w:r>
        <w:rPr>
          <w:rFonts w:hint="eastAsia"/>
          <w:sz w:val="24"/>
        </w:rPr>
        <w:t>按照</w:t>
      </w:r>
      <w:r>
        <w:rPr>
          <w:rFonts w:hint="eastAsia" w:cs="宋体"/>
          <w:b/>
          <w:bCs/>
          <w:sz w:val="24"/>
        </w:rPr>
        <w:t>《供应商须知前附表》</w:t>
      </w:r>
      <w:r>
        <w:rPr>
          <w:sz w:val="24"/>
        </w:rPr>
        <w:t>确定比例进行价格扣除，用扣除后的价格参加评审</w:t>
      </w:r>
      <w:r>
        <w:rPr>
          <w:rFonts w:hint="eastAsia"/>
          <w:sz w:val="24"/>
        </w:rPr>
        <w:t>。</w:t>
      </w:r>
      <w:r>
        <w:rPr>
          <w:sz w:val="24"/>
        </w:rPr>
        <w:t>组成联合体或者接受分包的小微企业与联合体内其他企业、分包企业之间存在直接控股、管理关系的，不享受价格扣除优惠政策。</w:t>
      </w:r>
    </w:p>
    <w:p>
      <w:pPr>
        <w:spacing w:line="440" w:lineRule="exact"/>
        <w:ind w:left="363" w:leftChars="1" w:hanging="360" w:hangingChars="150"/>
        <w:rPr>
          <w:sz w:val="24"/>
        </w:rPr>
      </w:pPr>
      <w:r>
        <w:rPr>
          <w:rFonts w:hint="eastAsia"/>
          <w:sz w:val="24"/>
        </w:rPr>
        <w:t>37.8供应商提供的货物既有中小企业制造货物，也有大型企业制造货物的，不享受价格扣除。</w:t>
      </w:r>
    </w:p>
    <w:p>
      <w:pPr>
        <w:spacing w:line="440" w:lineRule="exact"/>
        <w:ind w:left="363" w:leftChars="1" w:hanging="360" w:hangingChars="150"/>
        <w:rPr>
          <w:sz w:val="24"/>
        </w:rPr>
      </w:pPr>
      <w:r>
        <w:rPr>
          <w:rFonts w:hint="eastAsia"/>
          <w:sz w:val="24"/>
        </w:rPr>
        <w:t>37.9供应商可通过工业和信息化部开发的中小企业规模类型自测小程序在线自测，国务院客户端和工业和信息化部网站上均有小程序链接。</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bCs/>
          <w:sz w:val="24"/>
        </w:rPr>
      </w:pPr>
      <w:r>
        <w:rPr>
          <w:bCs/>
          <w:sz w:val="24"/>
        </w:rPr>
        <w:t xml:space="preserve">38. </w:t>
      </w:r>
      <w:r>
        <w:rPr>
          <w:rFonts w:hint="eastAsia"/>
          <w:bCs/>
          <w:sz w:val="24"/>
        </w:rPr>
        <w:t>采购人</w:t>
      </w:r>
      <w:r>
        <w:rPr>
          <w:rFonts w:hint="eastAsia" w:cs="宋体"/>
          <w:sz w:val="24"/>
        </w:rPr>
        <w:t>按</w:t>
      </w:r>
      <w:r>
        <w:rPr>
          <w:rFonts w:hint="eastAsia" w:cs="宋体"/>
          <w:b/>
          <w:bCs/>
          <w:sz w:val="24"/>
        </w:rPr>
        <w:t>《供应商须知前附表》</w:t>
      </w:r>
      <w:r>
        <w:rPr>
          <w:rFonts w:hint="eastAsia" w:cs="宋体"/>
          <w:sz w:val="24"/>
        </w:rPr>
        <w:t>规定的办法确定成交供应商</w:t>
      </w:r>
      <w:r>
        <w:rPr>
          <w:bCs/>
          <w:sz w:val="24"/>
        </w:rPr>
        <w:t>。</w:t>
      </w:r>
    </w:p>
    <w:p>
      <w:pPr>
        <w:spacing w:line="440" w:lineRule="exact"/>
        <w:ind w:left="360" w:hanging="360" w:hangingChars="150"/>
        <w:rPr>
          <w:sz w:val="24"/>
        </w:rPr>
      </w:pPr>
      <w:r>
        <w:rPr>
          <w:sz w:val="24"/>
        </w:rPr>
        <w:t>39. 成交候选供应商因特殊原因放弃或因不可抗力提出不能履行合同，才可依据</w:t>
      </w:r>
      <w:r>
        <w:rPr>
          <w:rFonts w:hint="eastAsia"/>
          <w:sz w:val="24"/>
        </w:rPr>
        <w:t>谈判小组评审结果</w:t>
      </w:r>
      <w:r>
        <w:rPr>
          <w:sz w:val="24"/>
        </w:rPr>
        <w:t>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bCs/>
          <w:sz w:val="24"/>
        </w:rPr>
      </w:pPr>
      <w:r>
        <w:rPr>
          <w:bCs/>
          <w:sz w:val="24"/>
        </w:rPr>
        <w:t>40. 集中采购机构在成交供应商确定后，在财政部门指定的媒体上公告成交结果</w:t>
      </w:r>
      <w:r>
        <w:rPr>
          <w:rFonts w:hint="eastAsia"/>
          <w:bCs/>
          <w:sz w:val="24"/>
        </w:rPr>
        <w:t>（公告媒体</w:t>
      </w:r>
      <w:r>
        <w:rPr>
          <w:rFonts w:hint="eastAsia" w:cs="宋体"/>
          <w:sz w:val="24"/>
        </w:rPr>
        <w:t>详见</w:t>
      </w:r>
      <w:r>
        <w:rPr>
          <w:rFonts w:hint="eastAsia" w:cs="宋体"/>
          <w:b/>
          <w:bCs/>
          <w:sz w:val="24"/>
        </w:rPr>
        <w:t>《供应商须知前附表》）</w:t>
      </w:r>
      <w:r>
        <w:rPr>
          <w:rFonts w:hint="eastAsia" w:cs="宋体"/>
          <w:sz w:val="24"/>
        </w:rPr>
        <w:t>。</w:t>
      </w:r>
      <w:r>
        <w:rPr>
          <w:bCs/>
          <w:sz w:val="24"/>
        </w:rPr>
        <w:t>同时向成交供应商发出成交通知书。公告期为</w:t>
      </w:r>
      <w:r>
        <w:rPr>
          <w:rFonts w:hint="eastAsia"/>
          <w:bCs/>
          <w:sz w:val="24"/>
        </w:rPr>
        <w:t>一个工作日</w:t>
      </w:r>
      <w:r>
        <w:rPr>
          <w:bCs/>
          <w:sz w:val="24"/>
        </w:rPr>
        <w:t>。</w:t>
      </w:r>
    </w:p>
    <w:p>
      <w:pPr>
        <w:spacing w:line="440" w:lineRule="exact"/>
        <w:ind w:left="363" w:leftChars="1" w:hanging="360" w:hangingChars="150"/>
        <w:rPr>
          <w:bCs/>
          <w:sz w:val="24"/>
        </w:rPr>
      </w:pPr>
      <w:r>
        <w:rPr>
          <w:bCs/>
          <w:sz w:val="24"/>
        </w:rPr>
        <w:t>41. 相关供应商对</w:t>
      </w:r>
      <w:r>
        <w:rPr>
          <w:rFonts w:hint="eastAsia"/>
          <w:bCs/>
          <w:sz w:val="24"/>
        </w:rPr>
        <w:t>采购</w:t>
      </w:r>
      <w:r>
        <w:rPr>
          <w:bCs/>
          <w:sz w:val="24"/>
        </w:rPr>
        <w:t>过程、成交结果有询问或质疑的，可在公告期届满之日起七个工作日内，依据政府采购相关规定，向集中采购机构提出询问或质疑，集中采购机构将按政府采购询问或质疑程序处理</w:t>
      </w:r>
      <w:r>
        <w:rPr>
          <w:rFonts w:hint="eastAsia"/>
          <w:bCs/>
          <w:sz w:val="24"/>
        </w:rPr>
        <w:t>（</w:t>
      </w:r>
      <w:r>
        <w:rPr>
          <w:rFonts w:hint="eastAsia" w:cs="宋体"/>
          <w:sz w:val="24"/>
        </w:rPr>
        <w:t>详见</w:t>
      </w:r>
      <w:r>
        <w:rPr>
          <w:rFonts w:hint="eastAsia" w:cs="宋体"/>
          <w:b/>
          <w:bCs/>
          <w:sz w:val="24"/>
        </w:rPr>
        <w:t>《供应商须知前附表》</w:t>
      </w:r>
      <w:r>
        <w:rPr>
          <w:rFonts w:hint="eastAsia"/>
          <w:bCs/>
          <w:sz w:val="24"/>
        </w:rPr>
        <w:t>）</w:t>
      </w:r>
      <w:r>
        <w:rPr>
          <w:bCs/>
          <w:sz w:val="24"/>
        </w:rPr>
        <w:t>。质疑书应当包括下列主要内容：</w:t>
      </w:r>
    </w:p>
    <w:p>
      <w:pPr>
        <w:spacing w:line="440" w:lineRule="exact"/>
        <w:ind w:left="361" w:leftChars="129"/>
        <w:rPr>
          <w:bCs/>
          <w:sz w:val="24"/>
        </w:rPr>
      </w:pPr>
      <w:r>
        <w:rPr>
          <w:bCs/>
          <w:sz w:val="24"/>
        </w:rPr>
        <w:t>1）质疑人的名称、地址、电话等；</w:t>
      </w:r>
    </w:p>
    <w:p>
      <w:pPr>
        <w:spacing w:line="440" w:lineRule="exact"/>
        <w:ind w:left="361" w:leftChars="129"/>
        <w:rPr>
          <w:bCs/>
          <w:sz w:val="24"/>
        </w:rPr>
      </w:pPr>
      <w:r>
        <w:rPr>
          <w:bCs/>
          <w:sz w:val="24"/>
        </w:rPr>
        <w:t>2）质疑人法人</w:t>
      </w:r>
      <w:r>
        <w:rPr>
          <w:rFonts w:hint="eastAsia"/>
          <w:bCs/>
          <w:sz w:val="24"/>
        </w:rPr>
        <w:t>（负责人）</w:t>
      </w:r>
      <w:r>
        <w:rPr>
          <w:bCs/>
          <w:sz w:val="24"/>
        </w:rPr>
        <w:t>签章和单位公章；</w:t>
      </w:r>
    </w:p>
    <w:p>
      <w:pPr>
        <w:spacing w:line="440" w:lineRule="exact"/>
        <w:ind w:left="361" w:leftChars="129"/>
        <w:rPr>
          <w:bCs/>
          <w:sz w:val="24"/>
        </w:rPr>
      </w:pPr>
      <w:r>
        <w:rPr>
          <w:bCs/>
          <w:sz w:val="24"/>
        </w:rPr>
        <w:t>3）具体的质疑事项和请求；</w:t>
      </w:r>
    </w:p>
    <w:p>
      <w:pPr>
        <w:spacing w:line="440" w:lineRule="exact"/>
        <w:ind w:left="361" w:leftChars="129"/>
        <w:rPr>
          <w:bCs/>
          <w:sz w:val="24"/>
        </w:rPr>
      </w:pPr>
      <w:r>
        <w:rPr>
          <w:bCs/>
          <w:sz w:val="24"/>
        </w:rPr>
        <w:t>4）与质疑事项相关的证明材料；</w:t>
      </w:r>
    </w:p>
    <w:p>
      <w:pPr>
        <w:spacing w:line="440" w:lineRule="exact"/>
        <w:ind w:left="361" w:leftChars="129"/>
        <w:rPr>
          <w:bCs/>
          <w:sz w:val="24"/>
        </w:rPr>
      </w:pPr>
      <w:r>
        <w:rPr>
          <w:rFonts w:hint="eastAsia"/>
          <w:sz w:val="24"/>
        </w:rPr>
        <w:t>5）</w:t>
      </w:r>
      <w:r>
        <w:rPr>
          <w:sz w:val="24"/>
        </w:rPr>
        <w:t>以联合体形式参与的，</w:t>
      </w:r>
      <w:r>
        <w:rPr>
          <w:rFonts w:hint="eastAsia"/>
          <w:sz w:val="24"/>
        </w:rPr>
        <w:t>应由</w:t>
      </w:r>
      <w:r>
        <w:rPr>
          <w:sz w:val="24"/>
        </w:rPr>
        <w:t>联合体各方共同签署、盖章；</w:t>
      </w:r>
    </w:p>
    <w:p>
      <w:pPr>
        <w:spacing w:line="440" w:lineRule="exact"/>
        <w:ind w:left="361" w:leftChars="129"/>
        <w:rPr>
          <w:bCs/>
          <w:sz w:val="24"/>
        </w:rPr>
      </w:pPr>
      <w:r>
        <w:rPr>
          <w:bCs/>
          <w:sz w:val="24"/>
        </w:rPr>
        <w:t>6）提起质疑的日期。</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十、签订合同和付款</w:t>
      </w:r>
    </w:p>
    <w:p>
      <w:pPr>
        <w:spacing w:line="440" w:lineRule="exact"/>
        <w:ind w:left="420" w:hanging="420"/>
        <w:rPr>
          <w:sz w:val="24"/>
        </w:rPr>
      </w:pPr>
      <w:r>
        <w:rPr>
          <w:sz w:val="24"/>
        </w:rPr>
        <w:t xml:space="preserve">42. </w:t>
      </w:r>
      <w:r>
        <w:rPr>
          <w:rFonts w:hint="eastAsia" w:cs="宋体"/>
          <w:sz w:val="24"/>
        </w:rPr>
        <w:t>成交供应商在收到成交通知书后，三十日内与采购人签订供货服务合同。</w:t>
      </w:r>
    </w:p>
    <w:p>
      <w:pPr>
        <w:spacing w:line="440" w:lineRule="exact"/>
        <w:ind w:left="363" w:leftChars="1" w:hanging="360" w:hangingChars="150"/>
        <w:rPr>
          <w:sz w:val="24"/>
        </w:rPr>
      </w:pPr>
      <w:r>
        <w:rPr>
          <w:sz w:val="24"/>
        </w:rPr>
        <w:t xml:space="preserve">43. </w:t>
      </w:r>
      <w:r>
        <w:rPr>
          <w:rFonts w:hint="eastAsia" w:cs="宋体"/>
          <w:sz w:val="24"/>
        </w:rPr>
        <w:t>货物（服务）交付验收合格后，采购人报省财政厅办理相应金额的支付手续。</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sz w:val="24"/>
        </w:rPr>
        <w:t xml:space="preserve">44. </w:t>
      </w:r>
      <w:r>
        <w:rPr>
          <w:rFonts w:hint="eastAsia"/>
          <w:sz w:val="24"/>
        </w:rPr>
        <w:t>采购当事人的一切活动均适用于《中华人民共和国政府采购法》《中华人民共和国政府采购法实施条例》《政府采购非招标采购方式管理办法》及相关法规。</w:t>
      </w:r>
    </w:p>
    <w:p>
      <w:pPr>
        <w:spacing w:line="440" w:lineRule="exact"/>
        <w:ind w:left="420" w:hanging="420"/>
        <w:rPr>
          <w:bCs/>
          <w:sz w:val="24"/>
        </w:rPr>
      </w:pPr>
    </w:p>
    <w:p>
      <w:pPr>
        <w:adjustRightInd w:val="0"/>
        <w:snapToGrid w:val="0"/>
        <w:spacing w:line="440" w:lineRule="exact"/>
        <w:ind w:left="363" w:leftChars="1" w:hanging="360" w:hangingChars="150"/>
        <w:rPr>
          <w:rFonts w:eastAsia="仿宋_GB2312"/>
          <w:sz w:val="24"/>
        </w:rPr>
      </w:pPr>
    </w:p>
    <w:p>
      <w:pPr>
        <w:spacing w:line="500" w:lineRule="exact"/>
        <w:jc w:val="center"/>
        <w:rPr>
          <w:sz w:val="36"/>
          <w:szCs w:val="36"/>
          <w:lang w:bidi="ar-EG"/>
        </w:rPr>
        <w:sectPr>
          <w:headerReference r:id="rId6" w:type="default"/>
          <w:pgSz w:w="11906" w:h="16838"/>
          <w:pgMar w:top="1440" w:right="1800" w:bottom="1440" w:left="1800" w:header="851" w:footer="992" w:gutter="0"/>
          <w:cols w:space="425" w:num="1"/>
          <w:docGrid w:type="lines" w:linePitch="312" w:charSpace="0"/>
        </w:sectPr>
      </w:pPr>
    </w:p>
    <w:p>
      <w:pPr>
        <w:spacing w:line="500" w:lineRule="exact"/>
        <w:jc w:val="center"/>
        <w:rPr>
          <w:sz w:val="36"/>
          <w:szCs w:val="36"/>
        </w:rPr>
      </w:pPr>
      <w:r>
        <w:rPr>
          <w:sz w:val="36"/>
          <w:szCs w:val="36"/>
          <w:lang w:val="hr-HR" w:bidi="ar-EG"/>
        </w:rPr>
        <w:t>第三章</w:t>
      </w:r>
      <w:r>
        <w:rPr>
          <w:rFonts w:hint="eastAsia"/>
          <w:sz w:val="36"/>
          <w:szCs w:val="36"/>
          <w:lang w:val="hr-HR" w:bidi="ar-EG"/>
        </w:rPr>
        <w:t xml:space="preserve">  </w:t>
      </w:r>
      <w:r>
        <w:rPr>
          <w:sz w:val="36"/>
          <w:szCs w:val="36"/>
          <w:lang w:val="hr-HR" w:bidi="ar-EG"/>
        </w:rPr>
        <w:t>采购货物（</w:t>
      </w:r>
      <w:r>
        <w:rPr>
          <w:sz w:val="36"/>
          <w:szCs w:val="36"/>
        </w:rPr>
        <w:t>服务）技术规格、参数及要求</w:t>
      </w:r>
    </w:p>
    <w:p>
      <w:pPr>
        <w:shd w:val="clear" w:color="auto" w:fill="FFFFFF"/>
        <w:spacing w:line="480" w:lineRule="exact"/>
        <w:rPr>
          <w:rFonts w:ascii="黑体" w:hAnsi="黑体" w:eastAsia="黑体" w:cs="宋体"/>
          <w:sz w:val="24"/>
        </w:rPr>
      </w:pPr>
    </w:p>
    <w:p>
      <w:pPr>
        <w:spacing w:line="440" w:lineRule="exact"/>
        <w:ind w:firstLine="480" w:firstLineChars="200"/>
        <w:rPr>
          <w:rFonts w:ascii="宋体" w:hAnsi="宋体"/>
          <w:b/>
          <w:sz w:val="24"/>
        </w:rPr>
      </w:pPr>
      <w:r>
        <w:rPr>
          <w:rFonts w:hint="eastAsia" w:ascii="宋体" w:hAnsi="宋体"/>
          <w:b/>
          <w:sz w:val="24"/>
        </w:rPr>
        <w:t>第一部分：供应商资格条件</w:t>
      </w:r>
    </w:p>
    <w:p>
      <w:pPr>
        <w:spacing w:line="440" w:lineRule="exact"/>
        <w:ind w:firstLine="480" w:firstLineChars="200"/>
        <w:rPr>
          <w:rFonts w:ascii="宋体" w:hAnsi="宋体"/>
          <w:sz w:val="24"/>
        </w:rPr>
      </w:pPr>
      <w:r>
        <w:rPr>
          <w:rFonts w:ascii="宋体" w:hAnsi="宋体"/>
          <w:sz w:val="24"/>
        </w:rPr>
        <w:t>1.1</w:t>
      </w:r>
      <w:r>
        <w:rPr>
          <w:rFonts w:hint="eastAsia" w:ascii="宋体" w:hAnsi="宋体"/>
          <w:sz w:val="24"/>
        </w:rPr>
        <w:t>应具备《政府采购法》第二十二条第一款规定的条件。</w:t>
      </w:r>
    </w:p>
    <w:p>
      <w:pPr>
        <w:spacing w:line="440" w:lineRule="exact"/>
        <w:ind w:firstLine="480" w:firstLineChars="200"/>
        <w:rPr>
          <w:rFonts w:ascii="宋体" w:hAnsi="宋体"/>
          <w:sz w:val="24"/>
        </w:rPr>
      </w:pPr>
      <w:r>
        <w:rPr>
          <w:rFonts w:ascii="宋体" w:hAnsi="宋体"/>
          <w:sz w:val="24"/>
        </w:rPr>
        <w:t>1.2</w:t>
      </w:r>
      <w:r>
        <w:rPr>
          <w:rFonts w:hint="eastAsia" w:ascii="宋体" w:hAnsi="宋体"/>
          <w:sz w:val="24"/>
        </w:rPr>
        <w:t>未被列入“信用中国”网站（</w:t>
      </w:r>
      <w:r>
        <w:rPr>
          <w:rFonts w:ascii="宋体" w:hAnsi="宋体"/>
          <w:sz w:val="24"/>
        </w:rPr>
        <w:t>www.creditchina.gov.cn</w:t>
      </w:r>
      <w:r>
        <w:rPr>
          <w:rFonts w:hint="eastAsia" w:ascii="宋体" w:hAnsi="宋体"/>
          <w:sz w:val="24"/>
        </w:rPr>
        <w:t>）失信被执行人和重大税收违法案件当事人名单以及“中国政府采购网”</w:t>
      </w:r>
      <w:r>
        <w:rPr>
          <w:rFonts w:ascii="宋体" w:hAnsi="宋体"/>
          <w:sz w:val="24"/>
        </w:rPr>
        <w:t>(www.ccgp.gov.cn)</w:t>
      </w:r>
      <w:r>
        <w:rPr>
          <w:rFonts w:hint="eastAsia" w:ascii="宋体" w:hAnsi="宋体"/>
          <w:sz w:val="24"/>
        </w:rPr>
        <w:t>的政府采购严重违法失信行为记录名单。</w:t>
      </w:r>
    </w:p>
    <w:p>
      <w:pPr>
        <w:spacing w:line="440" w:lineRule="exact"/>
        <w:ind w:firstLine="480" w:firstLineChars="200"/>
        <w:rPr>
          <w:rFonts w:ascii="宋体" w:hAnsi="宋体"/>
          <w:sz w:val="24"/>
        </w:rPr>
      </w:pPr>
      <w:r>
        <w:rPr>
          <w:rFonts w:ascii="宋体" w:hAnsi="宋体"/>
          <w:sz w:val="24"/>
        </w:rPr>
        <w:t>1.3</w:t>
      </w:r>
      <w:r>
        <w:rPr>
          <w:rFonts w:hint="eastAsia" w:ascii="宋体" w:hAnsi="宋体"/>
          <w:sz w:val="24"/>
        </w:rPr>
        <w:t>是否专门面向中小企业：是。</w:t>
      </w:r>
    </w:p>
    <w:p>
      <w:pPr>
        <w:spacing w:line="440" w:lineRule="exact"/>
        <w:ind w:firstLine="480" w:firstLineChars="200"/>
        <w:rPr>
          <w:rFonts w:ascii="宋体" w:hAnsi="宋体"/>
          <w:sz w:val="24"/>
        </w:rPr>
      </w:pPr>
      <w:r>
        <w:rPr>
          <w:rFonts w:ascii="宋体" w:hAnsi="宋体"/>
          <w:sz w:val="24"/>
        </w:rPr>
        <w:t>1.4</w:t>
      </w:r>
      <w:r>
        <w:rPr>
          <w:rFonts w:hint="eastAsia" w:ascii="宋体" w:hAnsi="宋体"/>
          <w:sz w:val="24"/>
        </w:rPr>
        <w:t>本项目接受联合体。两个以上供应商组成一个联合体参加本项目活动的，应以一个供应商的身份共同参加；联合体各方均应当符合政府采购法第二十二条第一款规定的条件。联合体各方之间须签订联合协议，明确约定联合体各方承担的工作和相应的责任，在联合协议中指定本项目主办人，并将联合协议作为响应文件组成的一部分；项目的主体、关键性工作应由主办人完成，并在联合协议中进行说明。</w:t>
      </w:r>
    </w:p>
    <w:p>
      <w:pPr>
        <w:spacing w:line="440" w:lineRule="exact"/>
        <w:ind w:firstLine="480" w:firstLineChars="200"/>
        <w:rPr>
          <w:rFonts w:ascii="宋体" w:hAnsi="宋体"/>
          <w:b/>
          <w:sz w:val="24"/>
        </w:rPr>
      </w:pPr>
      <w:r>
        <w:rPr>
          <w:rFonts w:hint="eastAsia" w:ascii="宋体" w:hAnsi="宋体"/>
          <w:b/>
          <w:sz w:val="24"/>
        </w:rPr>
        <w:t>第二部分：采购需求</w:t>
      </w:r>
    </w:p>
    <w:p>
      <w:pPr>
        <w:spacing w:line="560" w:lineRule="exact"/>
        <w:rPr>
          <w:rFonts w:ascii="宋体" w:hAnsi="宋体"/>
          <w:sz w:val="24"/>
        </w:rPr>
      </w:pPr>
      <w:r>
        <w:rPr>
          <w:rFonts w:ascii="宋体" w:hAnsi="宋体"/>
          <w:sz w:val="24"/>
        </w:rPr>
        <w:t>2.1</w:t>
      </w:r>
      <w:r>
        <w:rPr>
          <w:rFonts w:hint="eastAsia" w:ascii="宋体" w:hAnsi="宋体"/>
          <w:sz w:val="24"/>
        </w:rPr>
        <w:t>采购清单</w:t>
      </w:r>
    </w:p>
    <w:tbl>
      <w:tblPr>
        <w:tblStyle w:val="27"/>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5728"/>
        <w:gridCol w:w="1021"/>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hint="eastAsia" w:ascii="宋体" w:hAnsi="宋体"/>
                <w:sz w:val="24"/>
              </w:rPr>
              <w:t>编号</w:t>
            </w:r>
          </w:p>
        </w:tc>
        <w:tc>
          <w:tcPr>
            <w:tcW w:w="5728" w:type="dxa"/>
            <w:vAlign w:val="center"/>
          </w:tcPr>
          <w:p>
            <w:pPr>
              <w:spacing w:line="380" w:lineRule="exact"/>
              <w:rPr>
                <w:rFonts w:ascii="宋体" w:hAnsi="宋体"/>
                <w:sz w:val="24"/>
              </w:rPr>
            </w:pPr>
            <w:r>
              <w:rPr>
                <w:rFonts w:hint="eastAsia" w:ascii="宋体" w:hAnsi="宋体"/>
                <w:sz w:val="24"/>
              </w:rPr>
              <w:t>功能</w:t>
            </w:r>
          </w:p>
        </w:tc>
        <w:tc>
          <w:tcPr>
            <w:tcW w:w="1021" w:type="dxa"/>
            <w:vAlign w:val="center"/>
          </w:tcPr>
          <w:p>
            <w:pPr>
              <w:spacing w:line="380" w:lineRule="exact"/>
              <w:rPr>
                <w:rFonts w:ascii="宋体" w:hAnsi="宋体"/>
                <w:sz w:val="24"/>
              </w:rPr>
            </w:pPr>
            <w:r>
              <w:rPr>
                <w:rFonts w:hint="eastAsia" w:ascii="宋体" w:hAnsi="宋体"/>
                <w:sz w:val="24"/>
              </w:rPr>
              <w:t>数量</w:t>
            </w:r>
          </w:p>
        </w:tc>
        <w:tc>
          <w:tcPr>
            <w:tcW w:w="1044" w:type="dxa"/>
            <w:vAlign w:val="center"/>
          </w:tcPr>
          <w:p>
            <w:pPr>
              <w:spacing w:line="380" w:lineRule="exact"/>
              <w:rPr>
                <w:rFonts w:ascii="宋体" w:hAnsi="宋体"/>
                <w:sz w:val="24"/>
              </w:rPr>
            </w:pPr>
            <w:r>
              <w:rPr>
                <w:rFonts w:hint="eastAsia" w:ascii="宋体" w:hAnsi="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w:t>
            </w:r>
          </w:p>
        </w:tc>
        <w:tc>
          <w:tcPr>
            <w:tcW w:w="7793" w:type="dxa"/>
            <w:gridSpan w:val="3"/>
            <w:vAlign w:val="center"/>
          </w:tcPr>
          <w:p>
            <w:pPr>
              <w:spacing w:line="380" w:lineRule="exact"/>
              <w:rPr>
                <w:rFonts w:ascii="宋体" w:hAnsi="宋体"/>
                <w:sz w:val="24"/>
              </w:rPr>
            </w:pPr>
            <w:r>
              <w:rPr>
                <w:rFonts w:hint="eastAsia" w:ascii="宋体" w:hAnsi="宋体"/>
                <w:sz w:val="24"/>
              </w:rPr>
              <w:t>系统框架建设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1.1</w:t>
            </w:r>
          </w:p>
        </w:tc>
        <w:tc>
          <w:tcPr>
            <w:tcW w:w="5728" w:type="dxa"/>
            <w:vAlign w:val="center"/>
          </w:tcPr>
          <w:p>
            <w:pPr>
              <w:spacing w:line="380" w:lineRule="exact"/>
              <w:rPr>
                <w:rFonts w:ascii="宋体" w:hAnsi="宋体"/>
                <w:sz w:val="24"/>
              </w:rPr>
            </w:pPr>
            <w:r>
              <w:rPr>
                <w:rFonts w:hint="eastAsia" w:ascii="宋体" w:hAnsi="宋体"/>
                <w:sz w:val="24"/>
              </w:rPr>
              <w:t>特色服务</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1.2</w:t>
            </w:r>
          </w:p>
        </w:tc>
        <w:tc>
          <w:tcPr>
            <w:tcW w:w="5728" w:type="dxa"/>
            <w:vAlign w:val="center"/>
          </w:tcPr>
          <w:p>
            <w:pPr>
              <w:spacing w:line="380" w:lineRule="exact"/>
              <w:rPr>
                <w:rFonts w:ascii="宋体" w:hAnsi="宋体"/>
                <w:sz w:val="24"/>
              </w:rPr>
            </w:pPr>
            <w:r>
              <w:rPr>
                <w:rFonts w:hint="eastAsia" w:ascii="宋体" w:hAnsi="宋体"/>
                <w:sz w:val="24"/>
              </w:rPr>
              <w:t>信息服务</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1.3</w:t>
            </w:r>
          </w:p>
        </w:tc>
        <w:tc>
          <w:tcPr>
            <w:tcW w:w="5728" w:type="dxa"/>
            <w:vAlign w:val="center"/>
          </w:tcPr>
          <w:p>
            <w:pPr>
              <w:spacing w:line="380" w:lineRule="exact"/>
              <w:rPr>
                <w:rFonts w:ascii="宋体" w:hAnsi="宋体"/>
                <w:sz w:val="24"/>
              </w:rPr>
            </w:pPr>
            <w:r>
              <w:rPr>
                <w:rFonts w:hint="eastAsia" w:ascii="宋体" w:hAnsi="宋体"/>
                <w:sz w:val="24"/>
              </w:rPr>
              <w:t>办事服务</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1.4</w:t>
            </w:r>
          </w:p>
        </w:tc>
        <w:tc>
          <w:tcPr>
            <w:tcW w:w="5728" w:type="dxa"/>
            <w:vAlign w:val="center"/>
          </w:tcPr>
          <w:p>
            <w:pPr>
              <w:spacing w:line="380" w:lineRule="exact"/>
              <w:rPr>
                <w:rFonts w:ascii="宋体" w:hAnsi="宋体"/>
                <w:sz w:val="24"/>
              </w:rPr>
            </w:pPr>
            <w:r>
              <w:rPr>
                <w:rFonts w:hint="eastAsia" w:ascii="宋体" w:hAnsi="宋体"/>
                <w:sz w:val="24"/>
              </w:rPr>
              <w:t>奖项申报和资源创建</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1.5</w:t>
            </w:r>
          </w:p>
        </w:tc>
        <w:tc>
          <w:tcPr>
            <w:tcW w:w="5728" w:type="dxa"/>
            <w:vAlign w:val="center"/>
          </w:tcPr>
          <w:p>
            <w:pPr>
              <w:spacing w:line="380" w:lineRule="exact"/>
              <w:rPr>
                <w:rFonts w:ascii="宋体" w:hAnsi="宋体"/>
                <w:sz w:val="24"/>
              </w:rPr>
            </w:pPr>
            <w:r>
              <w:rPr>
                <w:rFonts w:hint="eastAsia" w:ascii="宋体" w:hAnsi="宋体"/>
                <w:sz w:val="24"/>
              </w:rPr>
              <w:t>业务咨询</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1.6</w:t>
            </w:r>
          </w:p>
        </w:tc>
        <w:tc>
          <w:tcPr>
            <w:tcW w:w="5728" w:type="dxa"/>
            <w:vAlign w:val="center"/>
          </w:tcPr>
          <w:p>
            <w:pPr>
              <w:spacing w:line="380" w:lineRule="exact"/>
              <w:rPr>
                <w:rFonts w:ascii="宋体" w:hAnsi="宋体"/>
                <w:sz w:val="24"/>
              </w:rPr>
            </w:pPr>
            <w:r>
              <w:rPr>
                <w:rFonts w:hint="eastAsia" w:ascii="宋体" w:hAnsi="宋体"/>
                <w:sz w:val="24"/>
              </w:rPr>
              <w:t>成果展示</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1.7</w:t>
            </w:r>
          </w:p>
        </w:tc>
        <w:tc>
          <w:tcPr>
            <w:tcW w:w="5728" w:type="dxa"/>
            <w:vAlign w:val="center"/>
          </w:tcPr>
          <w:p>
            <w:pPr>
              <w:spacing w:line="380" w:lineRule="exact"/>
              <w:rPr>
                <w:rFonts w:ascii="宋体" w:hAnsi="宋体"/>
                <w:sz w:val="24"/>
              </w:rPr>
            </w:pPr>
            <w:r>
              <w:rPr>
                <w:rFonts w:hint="eastAsia" w:ascii="宋体" w:hAnsi="宋体"/>
                <w:sz w:val="24"/>
              </w:rPr>
              <w:t>在线学习</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1.8</w:t>
            </w:r>
          </w:p>
        </w:tc>
        <w:tc>
          <w:tcPr>
            <w:tcW w:w="5728" w:type="dxa"/>
            <w:vAlign w:val="center"/>
          </w:tcPr>
          <w:p>
            <w:pPr>
              <w:spacing w:line="380" w:lineRule="exact"/>
              <w:rPr>
                <w:rFonts w:ascii="宋体" w:hAnsi="宋体"/>
                <w:sz w:val="24"/>
              </w:rPr>
            </w:pPr>
            <w:r>
              <w:rPr>
                <w:rFonts w:hint="eastAsia" w:ascii="宋体" w:hAnsi="宋体"/>
                <w:sz w:val="24"/>
              </w:rPr>
              <w:t>服务资源</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1.9</w:t>
            </w:r>
          </w:p>
        </w:tc>
        <w:tc>
          <w:tcPr>
            <w:tcW w:w="5728" w:type="dxa"/>
            <w:vAlign w:val="center"/>
          </w:tcPr>
          <w:p>
            <w:pPr>
              <w:spacing w:line="380" w:lineRule="exact"/>
              <w:rPr>
                <w:rFonts w:ascii="宋体" w:hAnsi="宋体"/>
                <w:sz w:val="24"/>
              </w:rPr>
            </w:pPr>
            <w:r>
              <w:rPr>
                <w:rFonts w:hint="eastAsia" w:ascii="宋体" w:hAnsi="宋体"/>
                <w:sz w:val="24"/>
              </w:rPr>
              <w:t>信息统计</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1.10</w:t>
            </w:r>
          </w:p>
        </w:tc>
        <w:tc>
          <w:tcPr>
            <w:tcW w:w="5728" w:type="dxa"/>
            <w:vAlign w:val="center"/>
          </w:tcPr>
          <w:p>
            <w:pPr>
              <w:spacing w:line="380" w:lineRule="exact"/>
              <w:rPr>
                <w:rFonts w:ascii="宋体" w:hAnsi="宋体"/>
                <w:sz w:val="24"/>
              </w:rPr>
            </w:pPr>
            <w:r>
              <w:rPr>
                <w:rFonts w:hint="eastAsia" w:ascii="宋体" w:hAnsi="宋体"/>
                <w:sz w:val="24"/>
              </w:rPr>
              <w:t>个人中心</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2</w:t>
            </w:r>
          </w:p>
        </w:tc>
        <w:tc>
          <w:tcPr>
            <w:tcW w:w="7793" w:type="dxa"/>
            <w:gridSpan w:val="3"/>
            <w:vAlign w:val="center"/>
          </w:tcPr>
          <w:p>
            <w:pPr>
              <w:spacing w:line="380" w:lineRule="exact"/>
              <w:rPr>
                <w:rFonts w:ascii="宋体" w:hAnsi="宋体"/>
                <w:sz w:val="24"/>
              </w:rPr>
            </w:pPr>
            <w:r>
              <w:rPr>
                <w:rFonts w:hint="eastAsia" w:ascii="宋体" w:hAnsi="宋体"/>
                <w:sz w:val="24"/>
              </w:rPr>
              <w:t>数据共享交换中心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2.1</w:t>
            </w:r>
          </w:p>
        </w:tc>
        <w:tc>
          <w:tcPr>
            <w:tcW w:w="5728" w:type="dxa"/>
            <w:vAlign w:val="center"/>
          </w:tcPr>
          <w:p>
            <w:pPr>
              <w:spacing w:line="380" w:lineRule="exact"/>
              <w:rPr>
                <w:rFonts w:ascii="宋体" w:hAnsi="宋体"/>
                <w:sz w:val="24"/>
              </w:rPr>
            </w:pPr>
            <w:r>
              <w:rPr>
                <w:rFonts w:hint="eastAsia" w:ascii="宋体" w:hAnsi="宋体"/>
                <w:sz w:val="24"/>
              </w:rPr>
              <w:t>汇集存储知识产权领域数据（专利、商标、地理标志）</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2.2</w:t>
            </w:r>
          </w:p>
        </w:tc>
        <w:tc>
          <w:tcPr>
            <w:tcW w:w="5728" w:type="dxa"/>
            <w:vAlign w:val="center"/>
          </w:tcPr>
          <w:p>
            <w:pPr>
              <w:spacing w:line="380" w:lineRule="exact"/>
              <w:rPr>
                <w:rFonts w:ascii="宋体" w:hAnsi="宋体"/>
                <w:sz w:val="24"/>
              </w:rPr>
            </w:pPr>
            <w:r>
              <w:rPr>
                <w:rFonts w:hint="eastAsia" w:ascii="宋体" w:hAnsi="宋体"/>
                <w:sz w:val="24"/>
              </w:rPr>
              <w:t>汇集平台各业务模块产生的业务数据</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2.3</w:t>
            </w:r>
          </w:p>
        </w:tc>
        <w:tc>
          <w:tcPr>
            <w:tcW w:w="5728" w:type="dxa"/>
            <w:vAlign w:val="center"/>
          </w:tcPr>
          <w:p>
            <w:pPr>
              <w:spacing w:line="380" w:lineRule="exact"/>
              <w:rPr>
                <w:rFonts w:ascii="宋体" w:hAnsi="宋体"/>
                <w:sz w:val="24"/>
              </w:rPr>
            </w:pPr>
            <w:r>
              <w:rPr>
                <w:rFonts w:hint="eastAsia" w:ascii="宋体" w:hAnsi="宋体"/>
                <w:sz w:val="24"/>
              </w:rPr>
              <w:t>实现对数据接口的配置、监控和管理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3</w:t>
            </w:r>
          </w:p>
        </w:tc>
        <w:tc>
          <w:tcPr>
            <w:tcW w:w="7793" w:type="dxa"/>
            <w:gridSpan w:val="3"/>
            <w:vAlign w:val="center"/>
          </w:tcPr>
          <w:p>
            <w:pPr>
              <w:spacing w:line="380" w:lineRule="exact"/>
              <w:rPr>
                <w:rFonts w:ascii="宋体" w:hAnsi="宋体"/>
                <w:sz w:val="24"/>
              </w:rPr>
            </w:pPr>
            <w:r>
              <w:rPr>
                <w:rFonts w:hint="eastAsia" w:ascii="宋体" w:hAnsi="宋体"/>
                <w:sz w:val="24"/>
              </w:rPr>
              <w:t>移动化支持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3.1</w:t>
            </w:r>
          </w:p>
        </w:tc>
        <w:tc>
          <w:tcPr>
            <w:tcW w:w="5728" w:type="dxa"/>
            <w:vAlign w:val="center"/>
          </w:tcPr>
          <w:p>
            <w:pPr>
              <w:spacing w:line="380" w:lineRule="exact"/>
              <w:rPr>
                <w:rFonts w:ascii="宋体" w:hAnsi="宋体"/>
                <w:sz w:val="24"/>
              </w:rPr>
            </w:pPr>
            <w:r>
              <w:rPr>
                <w:rFonts w:hint="eastAsia" w:ascii="宋体" w:hAnsi="宋体"/>
                <w:sz w:val="24"/>
              </w:rPr>
              <w:t>平台系统框架的移动化适配</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3.2</w:t>
            </w:r>
          </w:p>
        </w:tc>
        <w:tc>
          <w:tcPr>
            <w:tcW w:w="5728" w:type="dxa"/>
            <w:vAlign w:val="center"/>
          </w:tcPr>
          <w:p>
            <w:pPr>
              <w:spacing w:line="380" w:lineRule="exact"/>
              <w:rPr>
                <w:rFonts w:ascii="宋体" w:hAnsi="宋体"/>
                <w:sz w:val="24"/>
              </w:rPr>
            </w:pPr>
            <w:r>
              <w:rPr>
                <w:rFonts w:hint="eastAsia" w:ascii="宋体" w:hAnsi="宋体"/>
                <w:sz w:val="24"/>
              </w:rPr>
              <w:t>搜索及服务模块的移动化支持</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3.3</w:t>
            </w:r>
          </w:p>
        </w:tc>
        <w:tc>
          <w:tcPr>
            <w:tcW w:w="5728" w:type="dxa"/>
            <w:vAlign w:val="center"/>
          </w:tcPr>
          <w:p>
            <w:pPr>
              <w:spacing w:line="380" w:lineRule="exact"/>
              <w:rPr>
                <w:rFonts w:ascii="宋体" w:hAnsi="宋体"/>
                <w:sz w:val="24"/>
              </w:rPr>
            </w:pPr>
            <w:r>
              <w:rPr>
                <w:rFonts w:hint="eastAsia" w:ascii="宋体" w:hAnsi="宋体"/>
                <w:sz w:val="24"/>
              </w:rPr>
              <w:t>专利、商标大数据可视化子系统的移动化支持</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4</w:t>
            </w:r>
          </w:p>
        </w:tc>
        <w:tc>
          <w:tcPr>
            <w:tcW w:w="5728" w:type="dxa"/>
            <w:vAlign w:val="center"/>
          </w:tcPr>
          <w:p>
            <w:pPr>
              <w:spacing w:line="380" w:lineRule="exact"/>
              <w:rPr>
                <w:rFonts w:ascii="宋体" w:hAnsi="宋体"/>
                <w:sz w:val="24"/>
              </w:rPr>
            </w:pPr>
            <w:r>
              <w:rPr>
                <w:rFonts w:hint="eastAsia" w:ascii="宋体" w:hAnsi="宋体"/>
                <w:sz w:val="24"/>
              </w:rPr>
              <w:t>统一身份认证及电子证照平台管理接入</w:t>
            </w:r>
          </w:p>
        </w:tc>
        <w:tc>
          <w:tcPr>
            <w:tcW w:w="1021" w:type="dxa"/>
            <w:vAlign w:val="center"/>
          </w:tcPr>
          <w:p>
            <w:pPr>
              <w:spacing w:line="380" w:lineRule="exact"/>
              <w:rPr>
                <w:rFonts w:ascii="宋体" w:hAnsi="宋体"/>
                <w:sz w:val="24"/>
              </w:rPr>
            </w:pPr>
          </w:p>
        </w:tc>
        <w:tc>
          <w:tcPr>
            <w:tcW w:w="1044" w:type="dxa"/>
            <w:vAlign w:val="center"/>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4.1</w:t>
            </w:r>
          </w:p>
        </w:tc>
        <w:tc>
          <w:tcPr>
            <w:tcW w:w="5728" w:type="dxa"/>
            <w:vAlign w:val="center"/>
          </w:tcPr>
          <w:p>
            <w:pPr>
              <w:spacing w:line="380" w:lineRule="exact"/>
              <w:rPr>
                <w:rFonts w:ascii="宋体" w:hAnsi="宋体"/>
                <w:sz w:val="24"/>
              </w:rPr>
            </w:pPr>
            <w:r>
              <w:rPr>
                <w:rFonts w:hint="eastAsia" w:ascii="宋体" w:hAnsi="宋体"/>
                <w:sz w:val="24"/>
              </w:rPr>
              <w:t>与湖北政务服务网统一身份认证平台的对接</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4.2</w:t>
            </w:r>
          </w:p>
        </w:tc>
        <w:tc>
          <w:tcPr>
            <w:tcW w:w="5728" w:type="dxa"/>
            <w:vAlign w:val="center"/>
          </w:tcPr>
          <w:p>
            <w:pPr>
              <w:spacing w:line="380" w:lineRule="exact"/>
              <w:rPr>
                <w:rFonts w:ascii="宋体" w:hAnsi="宋体"/>
                <w:sz w:val="24"/>
              </w:rPr>
            </w:pPr>
            <w:r>
              <w:rPr>
                <w:rFonts w:hint="eastAsia" w:ascii="宋体" w:hAnsi="宋体"/>
                <w:sz w:val="24"/>
              </w:rPr>
              <w:t>电子证照相关接口接入</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w:t>
            </w:r>
          </w:p>
        </w:tc>
        <w:tc>
          <w:tcPr>
            <w:tcW w:w="7793" w:type="dxa"/>
            <w:gridSpan w:val="3"/>
            <w:vAlign w:val="center"/>
          </w:tcPr>
          <w:p>
            <w:pPr>
              <w:spacing w:line="380" w:lineRule="exact"/>
              <w:rPr>
                <w:rFonts w:ascii="宋体" w:hAnsi="宋体"/>
                <w:sz w:val="24"/>
              </w:rPr>
            </w:pPr>
            <w:r>
              <w:rPr>
                <w:rFonts w:hint="eastAsia" w:ascii="宋体" w:hAnsi="宋体"/>
                <w:sz w:val="24"/>
              </w:rPr>
              <w:t>平台后台管理系统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5.1</w:t>
            </w:r>
          </w:p>
        </w:tc>
        <w:tc>
          <w:tcPr>
            <w:tcW w:w="5728" w:type="dxa"/>
            <w:vAlign w:val="center"/>
          </w:tcPr>
          <w:p>
            <w:pPr>
              <w:spacing w:line="380" w:lineRule="exact"/>
              <w:rPr>
                <w:rFonts w:ascii="宋体" w:hAnsi="宋体"/>
                <w:sz w:val="24"/>
              </w:rPr>
            </w:pPr>
            <w:r>
              <w:rPr>
                <w:rFonts w:hint="eastAsia" w:ascii="宋体" w:hAnsi="宋体"/>
                <w:sz w:val="24"/>
              </w:rPr>
              <w:t>用户信息管理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5.2</w:t>
            </w:r>
          </w:p>
        </w:tc>
        <w:tc>
          <w:tcPr>
            <w:tcW w:w="5728" w:type="dxa"/>
            <w:vAlign w:val="center"/>
          </w:tcPr>
          <w:p>
            <w:pPr>
              <w:spacing w:line="380" w:lineRule="exact"/>
              <w:rPr>
                <w:rFonts w:ascii="宋体" w:hAnsi="宋体"/>
                <w:sz w:val="24"/>
              </w:rPr>
            </w:pPr>
            <w:r>
              <w:rPr>
                <w:rFonts w:hint="eastAsia" w:ascii="宋体" w:hAnsi="宋体"/>
                <w:sz w:val="24"/>
              </w:rPr>
              <w:t>角色权限管理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5.3</w:t>
            </w:r>
          </w:p>
        </w:tc>
        <w:tc>
          <w:tcPr>
            <w:tcW w:w="5728" w:type="dxa"/>
            <w:vAlign w:val="center"/>
          </w:tcPr>
          <w:p>
            <w:pPr>
              <w:spacing w:line="380" w:lineRule="exact"/>
              <w:rPr>
                <w:rFonts w:ascii="宋体" w:hAnsi="宋体"/>
                <w:sz w:val="24"/>
              </w:rPr>
            </w:pPr>
            <w:r>
              <w:rPr>
                <w:rFonts w:hint="eastAsia" w:ascii="宋体" w:hAnsi="宋体"/>
                <w:sz w:val="24"/>
              </w:rPr>
              <w:t>特色服务管理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5.4</w:t>
            </w:r>
          </w:p>
        </w:tc>
        <w:tc>
          <w:tcPr>
            <w:tcW w:w="5728" w:type="dxa"/>
            <w:vAlign w:val="center"/>
          </w:tcPr>
          <w:p>
            <w:pPr>
              <w:spacing w:line="380" w:lineRule="exact"/>
              <w:rPr>
                <w:rFonts w:ascii="宋体" w:hAnsi="宋体"/>
                <w:sz w:val="24"/>
              </w:rPr>
            </w:pPr>
            <w:r>
              <w:rPr>
                <w:rFonts w:hint="eastAsia" w:ascii="宋体" w:hAnsi="宋体"/>
                <w:sz w:val="24"/>
              </w:rPr>
              <w:t>信息查询服务管理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5.5</w:t>
            </w:r>
          </w:p>
        </w:tc>
        <w:tc>
          <w:tcPr>
            <w:tcW w:w="5728" w:type="dxa"/>
            <w:vAlign w:val="center"/>
          </w:tcPr>
          <w:p>
            <w:pPr>
              <w:spacing w:line="380" w:lineRule="exact"/>
              <w:rPr>
                <w:rFonts w:ascii="宋体" w:hAnsi="宋体"/>
                <w:sz w:val="24"/>
              </w:rPr>
            </w:pPr>
            <w:r>
              <w:rPr>
                <w:rFonts w:hint="eastAsia" w:ascii="宋体" w:hAnsi="宋体"/>
                <w:sz w:val="24"/>
              </w:rPr>
              <w:t>办事服务管理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5.6</w:t>
            </w:r>
          </w:p>
        </w:tc>
        <w:tc>
          <w:tcPr>
            <w:tcW w:w="5728" w:type="dxa"/>
            <w:vAlign w:val="center"/>
          </w:tcPr>
          <w:p>
            <w:pPr>
              <w:spacing w:line="380" w:lineRule="exact"/>
              <w:rPr>
                <w:rFonts w:ascii="宋体" w:hAnsi="宋体"/>
                <w:sz w:val="24"/>
              </w:rPr>
            </w:pPr>
            <w:r>
              <w:rPr>
                <w:rFonts w:hint="eastAsia" w:ascii="宋体" w:hAnsi="宋体"/>
                <w:sz w:val="24"/>
              </w:rPr>
              <w:t>奖项申报和资源创建管理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5.7</w:t>
            </w:r>
          </w:p>
        </w:tc>
        <w:tc>
          <w:tcPr>
            <w:tcW w:w="5728" w:type="dxa"/>
            <w:vAlign w:val="center"/>
          </w:tcPr>
          <w:p>
            <w:pPr>
              <w:spacing w:line="380" w:lineRule="exact"/>
              <w:rPr>
                <w:rFonts w:ascii="宋体" w:hAnsi="宋体"/>
                <w:sz w:val="24"/>
              </w:rPr>
            </w:pPr>
            <w:r>
              <w:rPr>
                <w:rFonts w:hint="eastAsia" w:ascii="宋体" w:hAnsi="宋体"/>
                <w:sz w:val="24"/>
              </w:rPr>
              <w:t>业务咨询管理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5.8</w:t>
            </w:r>
          </w:p>
        </w:tc>
        <w:tc>
          <w:tcPr>
            <w:tcW w:w="5728" w:type="dxa"/>
            <w:vAlign w:val="center"/>
          </w:tcPr>
          <w:p>
            <w:pPr>
              <w:spacing w:line="380" w:lineRule="exact"/>
              <w:rPr>
                <w:rFonts w:ascii="宋体" w:hAnsi="宋体"/>
                <w:sz w:val="24"/>
              </w:rPr>
            </w:pPr>
            <w:r>
              <w:rPr>
                <w:rFonts w:hint="eastAsia" w:ascii="宋体" w:hAnsi="宋体"/>
                <w:sz w:val="24"/>
              </w:rPr>
              <w:t>成果展示管理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5.9</w:t>
            </w:r>
          </w:p>
        </w:tc>
        <w:tc>
          <w:tcPr>
            <w:tcW w:w="5728" w:type="dxa"/>
            <w:vAlign w:val="center"/>
          </w:tcPr>
          <w:p>
            <w:pPr>
              <w:spacing w:line="380" w:lineRule="exact"/>
              <w:rPr>
                <w:rFonts w:ascii="宋体" w:hAnsi="宋体"/>
                <w:sz w:val="24"/>
              </w:rPr>
            </w:pPr>
            <w:r>
              <w:rPr>
                <w:rFonts w:hint="eastAsia" w:ascii="宋体" w:hAnsi="宋体"/>
                <w:sz w:val="24"/>
              </w:rPr>
              <w:t>在线学习管理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5.10</w:t>
            </w:r>
          </w:p>
        </w:tc>
        <w:tc>
          <w:tcPr>
            <w:tcW w:w="5728" w:type="dxa"/>
            <w:vAlign w:val="center"/>
          </w:tcPr>
          <w:p>
            <w:pPr>
              <w:spacing w:line="380" w:lineRule="exact"/>
              <w:rPr>
                <w:rFonts w:ascii="宋体" w:hAnsi="宋体"/>
                <w:sz w:val="24"/>
              </w:rPr>
            </w:pPr>
            <w:r>
              <w:rPr>
                <w:rFonts w:hint="eastAsia" w:ascii="宋体" w:hAnsi="宋体"/>
                <w:sz w:val="24"/>
              </w:rPr>
              <w:t>服务资源管理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5.11</w:t>
            </w:r>
          </w:p>
        </w:tc>
        <w:tc>
          <w:tcPr>
            <w:tcW w:w="5728" w:type="dxa"/>
            <w:vAlign w:val="center"/>
          </w:tcPr>
          <w:p>
            <w:pPr>
              <w:spacing w:line="380" w:lineRule="exact"/>
              <w:rPr>
                <w:rFonts w:ascii="宋体" w:hAnsi="宋体"/>
                <w:sz w:val="24"/>
              </w:rPr>
            </w:pPr>
            <w:r>
              <w:rPr>
                <w:rFonts w:hint="eastAsia" w:ascii="宋体" w:hAnsi="宋体"/>
                <w:sz w:val="24"/>
              </w:rPr>
              <w:t>统计数据管理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5.12</w:t>
            </w:r>
          </w:p>
        </w:tc>
        <w:tc>
          <w:tcPr>
            <w:tcW w:w="5728" w:type="dxa"/>
            <w:vAlign w:val="center"/>
          </w:tcPr>
          <w:p>
            <w:pPr>
              <w:spacing w:line="380" w:lineRule="exact"/>
              <w:rPr>
                <w:rFonts w:ascii="宋体" w:hAnsi="宋体"/>
                <w:sz w:val="24"/>
              </w:rPr>
            </w:pPr>
            <w:r>
              <w:rPr>
                <w:rFonts w:hint="eastAsia" w:ascii="宋体" w:hAnsi="宋体"/>
                <w:sz w:val="24"/>
              </w:rPr>
              <w:t>用户互动管理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5.13</w:t>
            </w:r>
          </w:p>
        </w:tc>
        <w:tc>
          <w:tcPr>
            <w:tcW w:w="5728" w:type="dxa"/>
            <w:vAlign w:val="center"/>
          </w:tcPr>
          <w:p>
            <w:pPr>
              <w:spacing w:line="380" w:lineRule="exact"/>
              <w:rPr>
                <w:rFonts w:ascii="宋体" w:hAnsi="宋体"/>
                <w:sz w:val="24"/>
              </w:rPr>
            </w:pPr>
            <w:r>
              <w:rPr>
                <w:rFonts w:hint="eastAsia" w:ascii="宋体" w:hAnsi="宋体"/>
                <w:sz w:val="24"/>
              </w:rPr>
              <w:t>个人收藏、个人导航、个人足迹管理</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6</w:t>
            </w:r>
          </w:p>
        </w:tc>
        <w:tc>
          <w:tcPr>
            <w:tcW w:w="7793" w:type="dxa"/>
            <w:gridSpan w:val="3"/>
            <w:vAlign w:val="center"/>
          </w:tcPr>
          <w:p>
            <w:pPr>
              <w:spacing w:line="380" w:lineRule="exact"/>
              <w:rPr>
                <w:rFonts w:ascii="宋体" w:hAnsi="宋体"/>
                <w:sz w:val="24"/>
              </w:rPr>
            </w:pPr>
            <w:r>
              <w:rPr>
                <w:rFonts w:hint="eastAsia" w:ascii="宋体" w:hAnsi="宋体"/>
                <w:sz w:val="24"/>
              </w:rPr>
              <w:t>搜索即服务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6.1</w:t>
            </w:r>
          </w:p>
        </w:tc>
        <w:tc>
          <w:tcPr>
            <w:tcW w:w="5728" w:type="dxa"/>
            <w:vAlign w:val="center"/>
          </w:tcPr>
          <w:p>
            <w:pPr>
              <w:spacing w:line="380" w:lineRule="exact"/>
              <w:rPr>
                <w:rFonts w:ascii="宋体" w:hAnsi="宋体"/>
                <w:sz w:val="24"/>
              </w:rPr>
            </w:pPr>
            <w:r>
              <w:rPr>
                <w:rFonts w:hint="eastAsia" w:ascii="宋体" w:hAnsi="宋体"/>
                <w:sz w:val="24"/>
              </w:rPr>
              <w:t>基础信息搜索</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6.2</w:t>
            </w:r>
          </w:p>
        </w:tc>
        <w:tc>
          <w:tcPr>
            <w:tcW w:w="5728" w:type="dxa"/>
            <w:vAlign w:val="center"/>
          </w:tcPr>
          <w:p>
            <w:pPr>
              <w:spacing w:line="380" w:lineRule="exact"/>
              <w:rPr>
                <w:rFonts w:ascii="宋体" w:hAnsi="宋体"/>
                <w:sz w:val="24"/>
              </w:rPr>
            </w:pPr>
            <w:r>
              <w:rPr>
                <w:rFonts w:hint="eastAsia" w:ascii="宋体" w:hAnsi="宋体"/>
                <w:sz w:val="24"/>
              </w:rPr>
              <w:t>关联信息搜索</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7</w:t>
            </w:r>
          </w:p>
        </w:tc>
        <w:tc>
          <w:tcPr>
            <w:tcW w:w="5728" w:type="dxa"/>
            <w:vAlign w:val="center"/>
          </w:tcPr>
          <w:p>
            <w:pPr>
              <w:spacing w:line="380" w:lineRule="exact"/>
              <w:rPr>
                <w:rFonts w:ascii="宋体" w:hAnsi="宋体"/>
                <w:sz w:val="24"/>
              </w:rPr>
            </w:pPr>
            <w:r>
              <w:rPr>
                <w:rFonts w:hint="eastAsia" w:ascii="宋体" w:hAnsi="宋体"/>
                <w:sz w:val="24"/>
              </w:rPr>
              <w:t>专利大数据可视化子系统</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8</w:t>
            </w:r>
          </w:p>
        </w:tc>
        <w:tc>
          <w:tcPr>
            <w:tcW w:w="5728" w:type="dxa"/>
            <w:vAlign w:val="center"/>
          </w:tcPr>
          <w:p>
            <w:pPr>
              <w:spacing w:line="380" w:lineRule="exact"/>
              <w:rPr>
                <w:rFonts w:ascii="宋体" w:hAnsi="宋体"/>
                <w:sz w:val="24"/>
              </w:rPr>
            </w:pPr>
            <w:r>
              <w:rPr>
                <w:rFonts w:hint="eastAsia" w:ascii="宋体" w:hAnsi="宋体"/>
                <w:sz w:val="24"/>
              </w:rPr>
              <w:t>商标大数据可视化子系统</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9</w:t>
            </w:r>
          </w:p>
        </w:tc>
        <w:tc>
          <w:tcPr>
            <w:tcW w:w="5728" w:type="dxa"/>
            <w:vAlign w:val="center"/>
          </w:tcPr>
          <w:p>
            <w:pPr>
              <w:spacing w:line="380" w:lineRule="exact"/>
              <w:rPr>
                <w:rFonts w:ascii="宋体" w:hAnsi="宋体"/>
                <w:sz w:val="24"/>
              </w:rPr>
            </w:pPr>
            <w:r>
              <w:rPr>
                <w:rFonts w:hint="eastAsia" w:ascii="宋体" w:hAnsi="宋体"/>
                <w:sz w:val="24"/>
              </w:rPr>
              <w:t>运维保障</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10</w:t>
            </w:r>
          </w:p>
        </w:tc>
        <w:tc>
          <w:tcPr>
            <w:tcW w:w="5728" w:type="dxa"/>
            <w:vAlign w:val="center"/>
          </w:tcPr>
          <w:p>
            <w:pPr>
              <w:spacing w:line="380" w:lineRule="exact"/>
              <w:rPr>
                <w:rFonts w:ascii="宋体" w:hAnsi="宋体"/>
                <w:sz w:val="24"/>
              </w:rPr>
            </w:pPr>
            <w:r>
              <w:rPr>
                <w:rFonts w:hint="eastAsia" w:ascii="宋体" w:hAnsi="宋体"/>
                <w:sz w:val="24"/>
              </w:rPr>
              <w:t>配合省知识产权局完成数据资源共享工作</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11</w:t>
            </w:r>
          </w:p>
        </w:tc>
        <w:tc>
          <w:tcPr>
            <w:tcW w:w="5728" w:type="dxa"/>
            <w:vAlign w:val="center"/>
          </w:tcPr>
          <w:p>
            <w:pPr>
              <w:spacing w:line="380" w:lineRule="exact"/>
              <w:rPr>
                <w:rFonts w:ascii="宋体" w:hAnsi="宋体"/>
                <w:sz w:val="24"/>
              </w:rPr>
            </w:pPr>
            <w:r>
              <w:rPr>
                <w:rFonts w:hint="eastAsia" w:ascii="宋体" w:hAnsi="宋体"/>
                <w:sz w:val="24"/>
              </w:rPr>
              <w:t>配合省知识产权局完成系统等级保护</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4" w:type="dxa"/>
            <w:vAlign w:val="center"/>
          </w:tcPr>
          <w:p>
            <w:pPr>
              <w:spacing w:line="380" w:lineRule="exact"/>
              <w:rPr>
                <w:rFonts w:ascii="宋体" w:hAnsi="宋体"/>
                <w:sz w:val="24"/>
              </w:rPr>
            </w:pPr>
            <w:r>
              <w:rPr>
                <w:rFonts w:ascii="宋体" w:hAnsi="宋体"/>
                <w:sz w:val="24"/>
              </w:rPr>
              <w:t>12</w:t>
            </w:r>
          </w:p>
        </w:tc>
        <w:tc>
          <w:tcPr>
            <w:tcW w:w="5728" w:type="dxa"/>
            <w:vAlign w:val="center"/>
          </w:tcPr>
          <w:p>
            <w:pPr>
              <w:spacing w:line="380" w:lineRule="exact"/>
              <w:rPr>
                <w:rFonts w:ascii="宋体" w:hAnsi="宋体"/>
                <w:sz w:val="24"/>
              </w:rPr>
            </w:pPr>
            <w:r>
              <w:rPr>
                <w:rFonts w:hint="eastAsia" w:ascii="宋体" w:hAnsi="宋体"/>
                <w:sz w:val="24"/>
              </w:rPr>
              <w:t>按省知识产权局要求完成相关培训，参与推广应用等工作</w:t>
            </w:r>
          </w:p>
        </w:tc>
        <w:tc>
          <w:tcPr>
            <w:tcW w:w="1021" w:type="dxa"/>
            <w:vAlign w:val="center"/>
          </w:tcPr>
          <w:p>
            <w:pPr>
              <w:spacing w:line="380" w:lineRule="exact"/>
              <w:rPr>
                <w:rFonts w:ascii="宋体" w:hAnsi="宋体"/>
                <w:sz w:val="24"/>
              </w:rPr>
            </w:pPr>
            <w:r>
              <w:rPr>
                <w:rFonts w:ascii="宋体" w:hAnsi="宋体"/>
                <w:sz w:val="24"/>
              </w:rPr>
              <w:t>1</w:t>
            </w:r>
          </w:p>
        </w:tc>
        <w:tc>
          <w:tcPr>
            <w:tcW w:w="1044" w:type="dxa"/>
            <w:vAlign w:val="center"/>
          </w:tcPr>
          <w:p>
            <w:pPr>
              <w:spacing w:line="380" w:lineRule="exact"/>
              <w:rPr>
                <w:rFonts w:ascii="宋体" w:hAnsi="宋体"/>
                <w:sz w:val="24"/>
              </w:rPr>
            </w:pPr>
            <w:r>
              <w:rPr>
                <w:rFonts w:hint="eastAsia" w:ascii="宋体" w:hAnsi="宋体"/>
                <w:sz w:val="24"/>
              </w:rPr>
              <w:t>项</w:t>
            </w:r>
          </w:p>
        </w:tc>
      </w:tr>
    </w:tbl>
    <w:p>
      <w:pPr>
        <w:spacing w:line="560" w:lineRule="exact"/>
        <w:rPr>
          <w:rFonts w:ascii="宋体" w:hAnsi="宋体"/>
          <w:sz w:val="24"/>
        </w:rPr>
      </w:pPr>
    </w:p>
    <w:p>
      <w:pPr>
        <w:spacing w:line="440" w:lineRule="exact"/>
        <w:ind w:firstLine="480" w:firstLineChars="200"/>
        <w:rPr>
          <w:rFonts w:ascii="宋体" w:hAnsi="宋体"/>
          <w:sz w:val="24"/>
        </w:rPr>
      </w:pPr>
      <w:r>
        <w:rPr>
          <w:rFonts w:ascii="宋体" w:hAnsi="宋体"/>
          <w:sz w:val="24"/>
        </w:rPr>
        <w:t>2.2</w:t>
      </w:r>
      <w:r>
        <w:rPr>
          <w:rFonts w:hint="eastAsia" w:ascii="宋体" w:hAnsi="宋体"/>
          <w:sz w:val="24"/>
        </w:rPr>
        <w:t>项目基本情况</w:t>
      </w:r>
    </w:p>
    <w:p>
      <w:pPr>
        <w:spacing w:line="440" w:lineRule="exact"/>
        <w:ind w:firstLine="480" w:firstLineChars="200"/>
        <w:rPr>
          <w:rFonts w:ascii="宋体" w:hAnsi="宋体"/>
          <w:sz w:val="24"/>
        </w:rPr>
      </w:pPr>
      <w:r>
        <w:rPr>
          <w:rFonts w:ascii="宋体" w:hAnsi="宋体"/>
          <w:sz w:val="24"/>
        </w:rPr>
        <w:t>2.2.1</w:t>
      </w:r>
      <w:r>
        <w:rPr>
          <w:rFonts w:hint="eastAsia" w:ascii="宋体" w:hAnsi="宋体"/>
          <w:sz w:val="24"/>
        </w:rPr>
        <w:t>项目背景。以全面推进湖北省数字政府建设为指导，围绕政务运行安全高效、政务管理便捷有序、为民服务精准精细，完善“高效办成一件事”的“一网通办”政务服务体系，开启“高效处置一件事”的“一网统管”智治管理新模式，在“知慧桥”专利运用公共服务平台建设的基础上，整合知识产权政务管理运行及公共服务相关信息系统，汇聚共享信息资源，推进现有信息系统迭代升级智能化改造，打通</w:t>
      </w:r>
      <w:r>
        <w:rPr>
          <w:rFonts w:ascii="宋体" w:hAnsi="宋体"/>
          <w:sz w:val="24"/>
        </w:rPr>
        <w:t>IP</w:t>
      </w:r>
      <w:r>
        <w:rPr>
          <w:rFonts w:hint="eastAsia" w:ascii="宋体" w:hAnsi="宋体"/>
          <w:sz w:val="24"/>
        </w:rPr>
        <w:t>数据感知、分析、决策、执行环节，加强对政务管理运行服务状况的实时监测、动态分析、统筹协调、指挥监督和综合评价，构建全省知识产权政务运行管理大数据综合服务运用平台“一张网”，促进知识产权全链条资源数据化，推进政务服务协同联动智慧化，不断增强政务信息管理利用的有效性和服务对象的获得感、幸福感、安全感，实现</w:t>
      </w:r>
      <w:r>
        <w:rPr>
          <w:rFonts w:ascii="宋体" w:hAnsi="宋体"/>
          <w:sz w:val="24"/>
        </w:rPr>
        <w:t>"</w:t>
      </w:r>
      <w:r>
        <w:rPr>
          <w:rFonts w:hint="eastAsia" w:ascii="宋体" w:hAnsi="宋体"/>
          <w:sz w:val="24"/>
        </w:rPr>
        <w:t>用数据对话、用数据决策、用数据服务、用数据创新</w:t>
      </w:r>
      <w:r>
        <w:rPr>
          <w:rFonts w:ascii="宋体" w:hAnsi="宋体"/>
          <w:sz w:val="24"/>
        </w:rPr>
        <w:t>"</w:t>
      </w:r>
      <w:r>
        <w:rPr>
          <w:rFonts w:hint="eastAsia" w:ascii="宋体" w:hAnsi="宋体"/>
          <w:sz w:val="24"/>
        </w:rPr>
        <w:t>的现代化治理模式。</w:t>
      </w:r>
    </w:p>
    <w:p>
      <w:pPr>
        <w:spacing w:line="440" w:lineRule="exact"/>
        <w:ind w:firstLine="480" w:firstLineChars="200"/>
        <w:rPr>
          <w:rFonts w:ascii="宋体" w:hAnsi="宋体"/>
          <w:sz w:val="24"/>
        </w:rPr>
      </w:pPr>
      <w:r>
        <w:rPr>
          <w:rFonts w:ascii="宋体" w:hAnsi="宋体"/>
          <w:sz w:val="24"/>
        </w:rPr>
        <w:t>2.2.2</w:t>
      </w:r>
      <w:r>
        <w:rPr>
          <w:rFonts w:hint="eastAsia" w:ascii="宋体" w:hAnsi="宋体"/>
          <w:sz w:val="24"/>
        </w:rPr>
        <w:t>项目目标。本项目以建成湖北省知识产权公共服务一张网为目标，对外统一公共服务入口，通过智慧化应用场景设计、多维应用分析及可视化展示，实现知识产权公共服务的统一平台，目标具体表现为：</w:t>
      </w:r>
    </w:p>
    <w:p>
      <w:pPr>
        <w:spacing w:line="440" w:lineRule="exact"/>
        <w:ind w:firstLine="480" w:firstLineChars="200"/>
        <w:rPr>
          <w:rFonts w:ascii="宋体" w:hAnsi="宋体"/>
          <w:sz w:val="24"/>
        </w:rPr>
      </w:pPr>
      <w:r>
        <w:rPr>
          <w:rFonts w:ascii="宋体" w:hAnsi="宋体"/>
          <w:sz w:val="24"/>
        </w:rPr>
        <w:t>2.2.2.1</w:t>
      </w:r>
      <w:r>
        <w:rPr>
          <w:rFonts w:hint="eastAsia" w:ascii="宋体" w:hAnsi="宋体"/>
          <w:sz w:val="24"/>
        </w:rPr>
        <w:t>物理整合：在综合服务“一张网”的标准规范体系之下，打通全局各子系统，逐步形成政务系统集约化平台。实现统一系统和身份认证，将所处相互独立的、不同服务器、不同访问地址、物理位置分散的所有在用、在建应用系统，通过“一张网”的建设，与省政务平台对接实现统一身份认证，各子系统采用模块化设计，实现集约化功能；</w:t>
      </w:r>
    </w:p>
    <w:p>
      <w:pPr>
        <w:spacing w:line="440" w:lineRule="exact"/>
        <w:ind w:firstLine="480" w:firstLineChars="200"/>
        <w:rPr>
          <w:rFonts w:ascii="宋体" w:hAnsi="宋体"/>
          <w:sz w:val="24"/>
        </w:rPr>
      </w:pPr>
      <w:r>
        <w:rPr>
          <w:rFonts w:ascii="宋体" w:hAnsi="宋体"/>
          <w:sz w:val="24"/>
        </w:rPr>
        <w:t>2.2.2.2</w:t>
      </w:r>
      <w:r>
        <w:rPr>
          <w:rFonts w:hint="eastAsia" w:ascii="宋体" w:hAnsi="宋体"/>
          <w:sz w:val="24"/>
        </w:rPr>
        <w:t>数据可视：建设专利</w:t>
      </w:r>
      <w:r>
        <w:rPr>
          <w:rFonts w:ascii="宋体" w:hAnsi="宋体"/>
          <w:sz w:val="24"/>
        </w:rPr>
        <w:t>/</w:t>
      </w:r>
      <w:r>
        <w:rPr>
          <w:rFonts w:hint="eastAsia" w:ascii="宋体" w:hAnsi="宋体"/>
          <w:sz w:val="24"/>
        </w:rPr>
        <w:t>商标大数据可视化子系统，根据系统数据实现三级数据可视化展示</w:t>
      </w:r>
      <w:r>
        <w:rPr>
          <w:rFonts w:ascii="宋体" w:hAnsi="宋体"/>
          <w:sz w:val="24"/>
        </w:rPr>
        <w:t>;</w:t>
      </w:r>
    </w:p>
    <w:p>
      <w:pPr>
        <w:spacing w:line="440" w:lineRule="exact"/>
        <w:ind w:firstLine="480" w:firstLineChars="200"/>
        <w:rPr>
          <w:rFonts w:ascii="宋体" w:hAnsi="宋体"/>
          <w:sz w:val="24"/>
        </w:rPr>
      </w:pPr>
      <w:r>
        <w:rPr>
          <w:rFonts w:ascii="宋体" w:hAnsi="宋体"/>
          <w:sz w:val="24"/>
        </w:rPr>
        <w:t>2.2.2.3</w:t>
      </w:r>
      <w:r>
        <w:rPr>
          <w:rFonts w:hint="eastAsia" w:ascii="宋体" w:hAnsi="宋体"/>
          <w:sz w:val="24"/>
        </w:rPr>
        <w:t>人性化操作界面：平台界面风格统一简洁美观，业务流程符合实际，功能操作简单易上手。对社会公众、市场主体、机关干部、创新骨干等不同角色提供差异化服务，包括用户界面、展现方式、数据信息等。不同人员登录后，即可看到各自最关心的内容。为社会公众等提供基本的快速检索、信息查询、业务咨询等应用服务，为市场主体提供信息查询、项目申报、资质审核等办事服务，为局内部工作提供各类监测数据的统计、变化趋势、状态信息、指标预测等应用服务</w:t>
      </w:r>
      <w:r>
        <w:rPr>
          <w:rFonts w:ascii="宋体" w:hAnsi="宋体"/>
          <w:sz w:val="24"/>
        </w:rPr>
        <w:t>;</w:t>
      </w:r>
    </w:p>
    <w:p>
      <w:pPr>
        <w:spacing w:line="440" w:lineRule="exact"/>
        <w:ind w:firstLine="480" w:firstLineChars="200"/>
        <w:rPr>
          <w:rFonts w:ascii="宋体" w:hAnsi="宋体"/>
          <w:sz w:val="24"/>
        </w:rPr>
      </w:pPr>
      <w:r>
        <w:rPr>
          <w:rFonts w:ascii="宋体" w:hAnsi="宋体"/>
          <w:sz w:val="24"/>
        </w:rPr>
        <w:t>2.2.2.4</w:t>
      </w:r>
      <w:r>
        <w:rPr>
          <w:rFonts w:hint="eastAsia" w:ascii="宋体" w:hAnsi="宋体"/>
          <w:sz w:val="24"/>
        </w:rPr>
        <w:t>开放的数据交换管理中心：建设省知识产权数据交换中心，建立一套开放标准的数据接口协议和对应系统的服务程序，接受授权用户的数据服务请求管理和数据使用监控，推动实现数据源、数据接口的统一、规范、安全、共享</w:t>
      </w:r>
      <w:r>
        <w:rPr>
          <w:rFonts w:ascii="宋体" w:hAnsi="宋体"/>
          <w:sz w:val="24"/>
        </w:rPr>
        <w:t>;</w:t>
      </w:r>
    </w:p>
    <w:p>
      <w:pPr>
        <w:spacing w:line="440" w:lineRule="exact"/>
        <w:ind w:firstLine="480" w:firstLineChars="200"/>
        <w:rPr>
          <w:rFonts w:ascii="宋体" w:hAnsi="宋体"/>
          <w:sz w:val="24"/>
        </w:rPr>
      </w:pPr>
      <w:r>
        <w:rPr>
          <w:rFonts w:ascii="宋体" w:hAnsi="宋体"/>
          <w:sz w:val="24"/>
        </w:rPr>
        <w:t>2.2.2.5</w:t>
      </w:r>
      <w:r>
        <w:rPr>
          <w:rFonts w:hint="eastAsia" w:ascii="宋体" w:hAnsi="宋体"/>
          <w:sz w:val="24"/>
        </w:rPr>
        <w:t>移动化应用：进行网上办事手机端建设，实现随时随地、快速便捷地完成相关工作程序。移动化应用减少了地域的限制、加速业务流程处理、极大的提高相关人员的查询办事效率。实现全平台各系统数据来源统一、数据接口统一、数据规则统一。</w:t>
      </w:r>
    </w:p>
    <w:p>
      <w:pPr>
        <w:spacing w:line="440" w:lineRule="exact"/>
        <w:ind w:firstLine="480" w:firstLineChars="200"/>
        <w:rPr>
          <w:rFonts w:ascii="宋体" w:hAnsi="宋体"/>
          <w:sz w:val="24"/>
        </w:rPr>
      </w:pPr>
      <w:bookmarkStart w:id="0" w:name="_Toc2067470581_WPSOffice_Level2"/>
      <w:bookmarkStart w:id="1" w:name="_Toc135670724_WPSOffice_Level2"/>
      <w:bookmarkStart w:id="2" w:name="_Toc1130685452_WPSOffice_Level2"/>
      <w:r>
        <w:rPr>
          <w:rFonts w:ascii="宋体" w:hAnsi="宋体"/>
          <w:sz w:val="24"/>
        </w:rPr>
        <w:t>2.3</w:t>
      </w:r>
      <w:r>
        <w:rPr>
          <w:rFonts w:hint="eastAsia" w:ascii="宋体" w:hAnsi="宋体"/>
          <w:sz w:val="24"/>
        </w:rPr>
        <w:t>标准规范建设</w:t>
      </w:r>
      <w:bookmarkEnd w:id="0"/>
      <w:bookmarkEnd w:id="1"/>
      <w:bookmarkEnd w:id="2"/>
      <w:r>
        <w:rPr>
          <w:rFonts w:hint="eastAsia" w:ascii="宋体" w:hAnsi="宋体"/>
          <w:sz w:val="24"/>
        </w:rPr>
        <w:t>。标准规范体系是贯穿本项目建设全局的重要保障，是对知</w:t>
      </w:r>
    </w:p>
    <w:p>
      <w:pPr>
        <w:spacing w:line="440" w:lineRule="exact"/>
        <w:rPr>
          <w:rFonts w:ascii="宋体" w:hAnsi="宋体"/>
          <w:sz w:val="24"/>
        </w:rPr>
      </w:pPr>
      <w:r>
        <w:rPr>
          <w:rFonts w:hint="eastAsia" w:ascii="宋体" w:hAnsi="宋体"/>
          <w:sz w:val="24"/>
        </w:rPr>
        <w:t>识产权信息化标准规范已有研究成果的总结、整合和提升，也是规范知识产权信息化相关技术研发与集成应用，保障信息资源建设与合理共享，协调系统运行和服务的基础条件。标准规范需要满足知识产权创造、运营、保护、管理、服务等业务以及各模块间、各系统间、各类数据接口能高效集成兼容的需要，兼顾应用系统持续建设和发展要求，严格遵循已有国家、知识产权行业以及相关标准规范。（</w:t>
      </w:r>
      <w:r>
        <w:rPr>
          <w:rFonts w:ascii="宋体" w:hAnsi="宋体"/>
          <w:sz w:val="24"/>
        </w:rPr>
        <w:t>1</w:t>
      </w:r>
      <w:r>
        <w:rPr>
          <w:rFonts w:hint="eastAsia" w:ascii="宋体" w:hAnsi="宋体"/>
          <w:sz w:val="24"/>
        </w:rPr>
        <w:t>）系统命名及技术名词术语规范；（</w:t>
      </w:r>
      <w:r>
        <w:rPr>
          <w:rFonts w:ascii="宋体" w:hAnsi="宋体"/>
          <w:sz w:val="24"/>
        </w:rPr>
        <w:t>2</w:t>
      </w:r>
      <w:r>
        <w:rPr>
          <w:rFonts w:hint="eastAsia" w:ascii="宋体" w:hAnsi="宋体"/>
          <w:sz w:val="24"/>
        </w:rPr>
        <w:t>）系统应用集成</w:t>
      </w:r>
      <w:r>
        <w:rPr>
          <w:rFonts w:ascii="宋体" w:hAnsi="宋体"/>
          <w:sz w:val="24"/>
        </w:rPr>
        <w:t>UI</w:t>
      </w:r>
      <w:r>
        <w:rPr>
          <w:rFonts w:hint="eastAsia" w:ascii="宋体" w:hAnsi="宋体"/>
          <w:sz w:val="24"/>
        </w:rPr>
        <w:t>规范；（</w:t>
      </w:r>
      <w:r>
        <w:rPr>
          <w:rFonts w:ascii="宋体" w:hAnsi="宋体"/>
          <w:sz w:val="24"/>
        </w:rPr>
        <w:t>3</w:t>
      </w:r>
      <w:r>
        <w:rPr>
          <w:rFonts w:hint="eastAsia" w:ascii="宋体" w:hAnsi="宋体"/>
          <w:sz w:val="24"/>
        </w:rPr>
        <w:t>）平台应用系统日志记录规范;（</w:t>
      </w:r>
      <w:r>
        <w:rPr>
          <w:rFonts w:ascii="宋体" w:hAnsi="宋体"/>
          <w:sz w:val="24"/>
        </w:rPr>
        <w:t>4</w:t>
      </w:r>
      <w:r>
        <w:rPr>
          <w:rFonts w:hint="eastAsia" w:ascii="宋体" w:hAnsi="宋体"/>
          <w:sz w:val="24"/>
        </w:rPr>
        <w:t>）系统安全保障建设规范；（</w:t>
      </w:r>
      <w:r>
        <w:rPr>
          <w:rFonts w:ascii="宋体" w:hAnsi="宋体"/>
          <w:sz w:val="24"/>
        </w:rPr>
        <w:t>5</w:t>
      </w:r>
      <w:r>
        <w:rPr>
          <w:rFonts w:hint="eastAsia" w:ascii="宋体" w:hAnsi="宋体"/>
          <w:sz w:val="24"/>
        </w:rPr>
        <w:t>）业务数据建设规范；（</w:t>
      </w:r>
      <w:r>
        <w:rPr>
          <w:rFonts w:ascii="宋体" w:hAnsi="宋体"/>
          <w:sz w:val="24"/>
        </w:rPr>
        <w:t>6</w:t>
      </w:r>
      <w:r>
        <w:rPr>
          <w:rFonts w:hint="eastAsia" w:ascii="宋体" w:hAnsi="宋体"/>
          <w:sz w:val="24"/>
        </w:rPr>
        <w:t>）对接接口建设规范。</w:t>
      </w:r>
    </w:p>
    <w:p>
      <w:pPr>
        <w:spacing w:line="440" w:lineRule="exact"/>
        <w:ind w:firstLine="480" w:firstLineChars="200"/>
        <w:rPr>
          <w:rFonts w:ascii="宋体" w:hAnsi="宋体"/>
          <w:b/>
          <w:sz w:val="24"/>
        </w:rPr>
      </w:pPr>
      <w:r>
        <w:rPr>
          <w:rFonts w:hint="eastAsia" w:ascii="宋体" w:hAnsi="宋体"/>
          <w:b/>
          <w:sz w:val="24"/>
        </w:rPr>
        <w:t>第</w:t>
      </w:r>
      <w:r>
        <w:rPr>
          <w:rFonts w:ascii="宋体" w:hAnsi="宋体"/>
          <w:b/>
          <w:sz w:val="24"/>
        </w:rPr>
        <w:t>三部分：</w:t>
      </w:r>
      <w:r>
        <w:rPr>
          <w:rFonts w:hint="eastAsia" w:ascii="宋体" w:hAnsi="宋体"/>
          <w:b/>
          <w:sz w:val="24"/>
        </w:rPr>
        <w:t>主要技术规格、参数及要求</w:t>
      </w:r>
    </w:p>
    <w:p>
      <w:pPr>
        <w:spacing w:line="440" w:lineRule="exact"/>
        <w:rPr>
          <w:rFonts w:ascii="宋体" w:hAnsi="宋体"/>
          <w:sz w:val="24"/>
        </w:rPr>
      </w:pPr>
      <w:bookmarkStart w:id="3" w:name="_Toc1731800822_WPSOffice_Level2"/>
      <w:bookmarkStart w:id="4" w:name="_Toc348959414_WPSOffice_Level2"/>
      <w:bookmarkStart w:id="5" w:name="_Toc1688917036_WPSOffice_Level2"/>
      <w:r>
        <w:rPr>
          <w:rFonts w:ascii="宋体" w:hAnsi="宋体"/>
          <w:sz w:val="24"/>
        </w:rPr>
        <w:t>3.1</w:t>
      </w:r>
      <w:bookmarkEnd w:id="3"/>
      <w:bookmarkEnd w:id="4"/>
      <w:bookmarkEnd w:id="5"/>
      <w:bookmarkStart w:id="6" w:name="_Toc2046100001_WPSOffice_Level2"/>
      <w:bookmarkStart w:id="7" w:name="_Toc1581370579_WPSOffice_Level2"/>
      <w:bookmarkStart w:id="8" w:name="_Toc819127952_WPSOffice_Level2"/>
      <w:r>
        <w:rPr>
          <w:rFonts w:hint="eastAsia" w:ascii="宋体" w:hAnsi="宋体"/>
          <w:sz w:val="24"/>
        </w:rPr>
        <w:t>系统框架建设</w:t>
      </w:r>
      <w:bookmarkEnd w:id="6"/>
      <w:bookmarkEnd w:id="7"/>
      <w:bookmarkEnd w:id="8"/>
    </w:p>
    <w:p>
      <w:pPr>
        <w:spacing w:line="440" w:lineRule="exact"/>
        <w:rPr>
          <w:rFonts w:ascii="宋体" w:hAnsi="宋体"/>
          <w:sz w:val="24"/>
        </w:rPr>
      </w:pPr>
      <w:r>
        <w:rPr>
          <w:rFonts w:ascii="宋体" w:hAnsi="宋体"/>
          <w:sz w:val="24"/>
        </w:rPr>
        <w:t>3.1.1</w:t>
      </w:r>
      <w:r>
        <w:rPr>
          <w:rFonts w:hint="eastAsia" w:ascii="宋体" w:hAnsi="宋体"/>
          <w:sz w:val="24"/>
        </w:rPr>
        <w:t>特色服务。框架提供特色服务板块，用于集中呈现省知识产权特有的服务。该板块需提供对应的管理功能，进行自定义配置。</w:t>
      </w:r>
    </w:p>
    <w:p>
      <w:pPr>
        <w:spacing w:line="440" w:lineRule="exact"/>
        <w:rPr>
          <w:rFonts w:ascii="宋体" w:hAnsi="宋体"/>
          <w:sz w:val="24"/>
        </w:rPr>
      </w:pPr>
      <w:r>
        <w:rPr>
          <w:rFonts w:ascii="宋体" w:hAnsi="宋体"/>
          <w:sz w:val="24"/>
        </w:rPr>
        <w:t>3.1.2</w:t>
      </w:r>
      <w:r>
        <w:rPr>
          <w:rFonts w:hint="eastAsia" w:ascii="宋体" w:hAnsi="宋体"/>
          <w:sz w:val="24"/>
        </w:rPr>
        <w:t>信息查询服务。实现专利、商标、地理标志、机构、人才等信息查询业务的汇集和导航服务。该板块需提供对应的管理功能，进行自定义配置。</w:t>
      </w:r>
    </w:p>
    <w:p>
      <w:pPr>
        <w:spacing w:line="440" w:lineRule="exact"/>
        <w:rPr>
          <w:rFonts w:ascii="宋体" w:hAnsi="宋体"/>
          <w:sz w:val="24"/>
        </w:rPr>
      </w:pPr>
      <w:r>
        <w:rPr>
          <w:rFonts w:ascii="宋体" w:hAnsi="宋体"/>
          <w:sz w:val="24"/>
        </w:rPr>
        <w:t>3.1.3</w:t>
      </w:r>
      <w:r>
        <w:rPr>
          <w:rFonts w:hint="eastAsia" w:ascii="宋体" w:hAnsi="宋体"/>
          <w:sz w:val="24"/>
        </w:rPr>
        <w:t>办事服务。实现知识产权办事业务相关应用的一站式办理和导航服务。新建地理标志优品馆、专用标志申请、侵权纠纷、维权援助线上服务等功能模块。该板块需提供对应的管理功能，进行自定义配置。</w:t>
      </w:r>
    </w:p>
    <w:p>
      <w:pPr>
        <w:spacing w:line="440" w:lineRule="exact"/>
        <w:rPr>
          <w:rFonts w:ascii="宋体" w:hAnsi="宋体"/>
          <w:sz w:val="24"/>
        </w:rPr>
      </w:pPr>
      <w:r>
        <w:rPr>
          <w:rFonts w:ascii="宋体" w:hAnsi="宋体"/>
          <w:sz w:val="24"/>
        </w:rPr>
        <w:t>3.1.4</w:t>
      </w:r>
      <w:r>
        <w:rPr>
          <w:rFonts w:hint="eastAsia" w:ascii="宋体" w:hAnsi="宋体"/>
          <w:sz w:val="24"/>
        </w:rPr>
        <w:t>奖项申报和资源创建。市场主体可以进行活动报名参加各类大赛或进行资源创建的申请。可下载对应申请模板，在申请时要求填写主体信息、对应的申请资料或附件等，申请提交后，在审核之前可以进行撤回或编辑后重新提交。审核人员可以进行审核，审核完成后，申请人可实时查询申请审核结果。对于当前时间正在举办的活动或赛事，要给出相应状态和信息提示。该板块需提供对应的管理功能，进行自定义配置。</w:t>
      </w:r>
    </w:p>
    <w:p>
      <w:pPr>
        <w:spacing w:line="440" w:lineRule="exact"/>
        <w:rPr>
          <w:rFonts w:ascii="宋体" w:hAnsi="宋体"/>
          <w:sz w:val="24"/>
        </w:rPr>
      </w:pPr>
      <w:r>
        <w:rPr>
          <w:rFonts w:ascii="宋体" w:hAnsi="宋体"/>
          <w:sz w:val="24"/>
        </w:rPr>
        <w:t>3.1.5</w:t>
      </w:r>
      <w:r>
        <w:rPr>
          <w:rFonts w:hint="eastAsia" w:ascii="宋体" w:hAnsi="宋体"/>
          <w:sz w:val="24"/>
        </w:rPr>
        <w:t>业务咨询。汇集知识产权咨询业务导航信息，方便用户一站式快速进行业务咨询。该板块需提供对应的管理功能，后台进行自定义配置。</w:t>
      </w:r>
    </w:p>
    <w:p>
      <w:pPr>
        <w:spacing w:line="440" w:lineRule="exact"/>
        <w:rPr>
          <w:rFonts w:ascii="宋体" w:hAnsi="宋体"/>
          <w:sz w:val="24"/>
        </w:rPr>
      </w:pPr>
      <w:r>
        <w:rPr>
          <w:rFonts w:ascii="宋体" w:hAnsi="宋体"/>
          <w:sz w:val="24"/>
        </w:rPr>
        <w:t>3.1.6</w:t>
      </w:r>
      <w:r>
        <w:rPr>
          <w:rFonts w:hint="eastAsia" w:ascii="宋体" w:hAnsi="宋体"/>
          <w:sz w:val="24"/>
        </w:rPr>
        <w:t>成果展示。采用时间里程碑方式，动态展示知识产权局历年发展过程中重要的里程碑点、历史表彰及重要奖项，形式直观简洁。该板块需提供对应的管理功能，后台进行自定义配置。</w:t>
      </w:r>
    </w:p>
    <w:p>
      <w:pPr>
        <w:spacing w:line="440" w:lineRule="exact"/>
        <w:rPr>
          <w:rFonts w:ascii="宋体" w:hAnsi="宋体"/>
          <w:sz w:val="24"/>
        </w:rPr>
      </w:pPr>
      <w:r>
        <w:rPr>
          <w:rFonts w:ascii="宋体" w:hAnsi="宋体"/>
          <w:sz w:val="24"/>
        </w:rPr>
        <w:t>3.1.7</w:t>
      </w:r>
      <w:r>
        <w:rPr>
          <w:rFonts w:hint="eastAsia" w:ascii="宋体" w:hAnsi="宋体"/>
          <w:sz w:val="24"/>
        </w:rPr>
        <w:t>在线学习。汇集知识产权相关在线学习导航信息。该板块需提供对应的管理功能，后台进行自定义配置。</w:t>
      </w:r>
    </w:p>
    <w:p>
      <w:pPr>
        <w:spacing w:line="440" w:lineRule="exact"/>
        <w:rPr>
          <w:rFonts w:ascii="宋体" w:hAnsi="宋体"/>
          <w:sz w:val="24"/>
        </w:rPr>
      </w:pPr>
      <w:r>
        <w:rPr>
          <w:rFonts w:ascii="宋体" w:hAnsi="宋体"/>
          <w:sz w:val="24"/>
        </w:rPr>
        <w:t>3.1.8</w:t>
      </w:r>
      <w:r>
        <w:rPr>
          <w:rFonts w:hint="eastAsia" w:ascii="宋体" w:hAnsi="宋体"/>
          <w:sz w:val="24"/>
        </w:rPr>
        <w:t>服务资源。汇集湖北省各类知识产权服务资源并实现能按各种条件进行服务资源搜索。该板块需提供对应的管理功能，后台进行自定义配置。</w:t>
      </w:r>
    </w:p>
    <w:p>
      <w:pPr>
        <w:spacing w:line="440" w:lineRule="exact"/>
        <w:rPr>
          <w:rFonts w:ascii="宋体" w:hAnsi="宋体"/>
          <w:sz w:val="24"/>
        </w:rPr>
      </w:pPr>
      <w:r>
        <w:rPr>
          <w:rFonts w:ascii="宋体" w:hAnsi="宋体"/>
          <w:sz w:val="24"/>
        </w:rPr>
        <w:t>3.1.9</w:t>
      </w:r>
      <w:r>
        <w:rPr>
          <w:rFonts w:hint="eastAsia" w:ascii="宋体" w:hAnsi="宋体"/>
          <w:sz w:val="24"/>
        </w:rPr>
        <w:t>信息统计。提供省、市州等地域的知识产权相关统计分析数据，包括专利申请总量、专利授权总量、有效专利总量、商标注册申请总量、商标注册总量、地理标志总量、保护地理标志产品总量等数据。该板块需提供对应的管理功能，后台进行自定义配置。</w:t>
      </w:r>
    </w:p>
    <w:p>
      <w:pPr>
        <w:spacing w:line="440" w:lineRule="exact"/>
        <w:rPr>
          <w:rFonts w:ascii="宋体" w:hAnsi="宋体"/>
          <w:sz w:val="24"/>
        </w:rPr>
      </w:pPr>
      <w:r>
        <w:rPr>
          <w:rFonts w:ascii="宋体" w:hAnsi="宋体"/>
          <w:sz w:val="24"/>
        </w:rPr>
        <w:t>3.1.10</w:t>
      </w:r>
      <w:r>
        <w:rPr>
          <w:rFonts w:hint="eastAsia" w:ascii="宋体" w:hAnsi="宋体"/>
          <w:sz w:val="24"/>
        </w:rPr>
        <w:t>个人中心。</w:t>
      </w:r>
    </w:p>
    <w:p>
      <w:pPr>
        <w:spacing w:line="440" w:lineRule="exact"/>
        <w:rPr>
          <w:rFonts w:ascii="宋体" w:hAnsi="宋体"/>
          <w:sz w:val="24"/>
        </w:rPr>
      </w:pPr>
      <w:r>
        <w:rPr>
          <w:rFonts w:ascii="宋体" w:hAnsi="宋体"/>
          <w:sz w:val="24"/>
        </w:rPr>
        <w:t>3.1.10.1</w:t>
      </w:r>
      <w:r>
        <w:rPr>
          <w:rFonts w:hint="eastAsia" w:ascii="宋体" w:hAnsi="宋体"/>
          <w:sz w:val="24"/>
        </w:rPr>
        <w:t>我的主页：主要展现个人的概要信息，如待办事项数、已办事项数、最近访问、最近收藏以及个人定制的快捷导航等，对于内部管理人员，能快速导航到政务管理相关系统进行工作任务处理。</w:t>
      </w:r>
      <w:r>
        <w:rPr>
          <w:rFonts w:ascii="宋体" w:hAnsi="宋体"/>
          <w:sz w:val="24"/>
        </w:rPr>
        <w:tab/>
      </w:r>
    </w:p>
    <w:p>
      <w:pPr>
        <w:spacing w:line="440" w:lineRule="exact"/>
        <w:rPr>
          <w:rFonts w:ascii="宋体" w:hAnsi="宋体"/>
          <w:sz w:val="24"/>
        </w:rPr>
      </w:pPr>
      <w:r>
        <w:rPr>
          <w:rFonts w:ascii="宋体" w:hAnsi="宋体"/>
          <w:sz w:val="24"/>
        </w:rPr>
        <w:t>3.1.10.2</w:t>
      </w:r>
      <w:r>
        <w:rPr>
          <w:rFonts w:hint="eastAsia" w:ascii="宋体" w:hAnsi="宋体"/>
          <w:sz w:val="24"/>
        </w:rPr>
        <w:t>我的待办：展示各业务领域产生的责任人是自己的待办任务列表。需要与相关系统进行数据对接。</w:t>
      </w:r>
      <w:r>
        <w:rPr>
          <w:rFonts w:ascii="宋体" w:hAnsi="宋体"/>
          <w:sz w:val="24"/>
        </w:rPr>
        <w:tab/>
      </w:r>
    </w:p>
    <w:p>
      <w:pPr>
        <w:spacing w:line="440" w:lineRule="exact"/>
        <w:rPr>
          <w:rFonts w:ascii="宋体" w:hAnsi="宋体"/>
          <w:sz w:val="24"/>
        </w:rPr>
      </w:pPr>
      <w:r>
        <w:rPr>
          <w:rFonts w:ascii="宋体" w:hAnsi="宋体"/>
          <w:sz w:val="24"/>
        </w:rPr>
        <w:t>3.1.10.3</w:t>
      </w:r>
      <w:r>
        <w:rPr>
          <w:rFonts w:hint="eastAsia" w:ascii="宋体" w:hAnsi="宋体"/>
          <w:sz w:val="24"/>
        </w:rPr>
        <w:t>我的已办：展示各业务领域产生的已办任务列表。需要与相关系统进行数据对接。</w:t>
      </w:r>
    </w:p>
    <w:p>
      <w:pPr>
        <w:spacing w:line="440" w:lineRule="exact"/>
        <w:rPr>
          <w:rFonts w:ascii="宋体" w:hAnsi="宋体"/>
          <w:sz w:val="24"/>
        </w:rPr>
      </w:pPr>
      <w:r>
        <w:rPr>
          <w:rFonts w:ascii="宋体" w:hAnsi="宋体"/>
          <w:sz w:val="24"/>
        </w:rPr>
        <w:t>3.1.10.4</w:t>
      </w:r>
      <w:r>
        <w:rPr>
          <w:rFonts w:hint="eastAsia" w:ascii="宋体" w:hAnsi="宋体"/>
          <w:sz w:val="24"/>
        </w:rPr>
        <w:t>我的材料：通过系统上传或下载的材料列表展示。</w:t>
      </w:r>
    </w:p>
    <w:p>
      <w:pPr>
        <w:spacing w:line="440" w:lineRule="exact"/>
        <w:rPr>
          <w:rFonts w:ascii="宋体" w:hAnsi="宋体"/>
          <w:sz w:val="24"/>
        </w:rPr>
      </w:pPr>
      <w:r>
        <w:rPr>
          <w:rFonts w:ascii="宋体" w:hAnsi="宋体"/>
          <w:sz w:val="24"/>
        </w:rPr>
        <w:t>3.1.10.5</w:t>
      </w:r>
      <w:r>
        <w:rPr>
          <w:rFonts w:hint="eastAsia" w:ascii="宋体" w:hAnsi="宋体"/>
          <w:sz w:val="24"/>
        </w:rPr>
        <w:t>我的互动：通过系统发出或收到的互动消息展示。</w:t>
      </w:r>
    </w:p>
    <w:p>
      <w:pPr>
        <w:spacing w:line="440" w:lineRule="exact"/>
        <w:rPr>
          <w:rFonts w:ascii="宋体" w:hAnsi="宋体"/>
          <w:sz w:val="24"/>
        </w:rPr>
      </w:pPr>
      <w:r>
        <w:rPr>
          <w:rFonts w:ascii="宋体" w:hAnsi="宋体"/>
          <w:sz w:val="24"/>
        </w:rPr>
        <w:t>3.1.10.6</w:t>
      </w:r>
      <w:r>
        <w:rPr>
          <w:rFonts w:hint="eastAsia" w:ascii="宋体" w:hAnsi="宋体"/>
          <w:sz w:val="24"/>
        </w:rPr>
        <w:t>我的收藏：个人收藏的政策法规、学习资料、在线视频等，需要与相关系统进行数据对接。</w:t>
      </w:r>
    </w:p>
    <w:p>
      <w:pPr>
        <w:spacing w:line="440" w:lineRule="exact"/>
        <w:rPr>
          <w:rFonts w:ascii="宋体" w:hAnsi="宋体"/>
          <w:sz w:val="24"/>
        </w:rPr>
      </w:pPr>
      <w:r>
        <w:rPr>
          <w:rFonts w:ascii="宋体" w:hAnsi="宋体"/>
          <w:sz w:val="24"/>
        </w:rPr>
        <w:t>3.1.10.7</w:t>
      </w:r>
      <w:r>
        <w:rPr>
          <w:rFonts w:hint="eastAsia" w:ascii="宋体" w:hAnsi="宋体"/>
          <w:sz w:val="24"/>
        </w:rPr>
        <w:t>我的足迹：个人访问各功能模块及业务事项的历史记录。</w:t>
      </w:r>
    </w:p>
    <w:p>
      <w:pPr>
        <w:spacing w:line="440" w:lineRule="exact"/>
        <w:rPr>
          <w:rFonts w:ascii="宋体" w:hAnsi="宋体"/>
          <w:sz w:val="24"/>
        </w:rPr>
      </w:pPr>
      <w:bookmarkStart w:id="9" w:name="_Toc1794090642_WPSOffice_Level2"/>
      <w:bookmarkStart w:id="10" w:name="_Toc2047698929_WPSOffice_Level2"/>
      <w:bookmarkStart w:id="11" w:name="_Toc1870902678_WPSOffice_Level2"/>
      <w:r>
        <w:rPr>
          <w:rFonts w:ascii="宋体" w:hAnsi="宋体"/>
          <w:sz w:val="24"/>
        </w:rPr>
        <w:t>3.2</w:t>
      </w:r>
      <w:r>
        <w:rPr>
          <w:rFonts w:hint="eastAsia" w:ascii="宋体" w:hAnsi="宋体"/>
          <w:sz w:val="24"/>
        </w:rPr>
        <w:t>数据共享交换</w:t>
      </w:r>
      <w:bookmarkEnd w:id="9"/>
      <w:bookmarkEnd w:id="10"/>
      <w:bookmarkEnd w:id="11"/>
      <w:r>
        <w:rPr>
          <w:rFonts w:hint="eastAsia" w:ascii="宋体" w:hAnsi="宋体"/>
          <w:sz w:val="24"/>
        </w:rPr>
        <w:t>中心。搭建全省知识产权数据共享交换中心功能模块，汇集存储知识产权领域（专利、商标、地理标志）数据和平台各业务模块产生的业务数据，并提供共享标准接口，实现在管理后台对接口的配置、监控和管理。</w:t>
      </w:r>
    </w:p>
    <w:p>
      <w:pPr>
        <w:spacing w:line="440" w:lineRule="exact"/>
        <w:rPr>
          <w:rFonts w:ascii="宋体" w:hAnsi="宋体"/>
          <w:sz w:val="24"/>
        </w:rPr>
      </w:pPr>
      <w:r>
        <w:rPr>
          <w:rFonts w:ascii="宋体" w:hAnsi="宋体"/>
          <w:sz w:val="24"/>
        </w:rPr>
        <w:t>3.2.1</w:t>
      </w:r>
      <w:r>
        <w:rPr>
          <w:rFonts w:hint="eastAsia" w:ascii="宋体" w:hAnsi="宋体"/>
          <w:sz w:val="24"/>
        </w:rPr>
        <w:t>各子平台可通过该模块实现数据互通、资源共享；</w:t>
      </w:r>
      <w:r>
        <w:rPr>
          <w:rFonts w:ascii="宋体" w:hAnsi="宋体"/>
          <w:sz w:val="24"/>
        </w:rPr>
        <w:t xml:space="preserve"> </w:t>
      </w:r>
    </w:p>
    <w:p>
      <w:pPr>
        <w:spacing w:line="440" w:lineRule="exact"/>
        <w:rPr>
          <w:rFonts w:ascii="宋体" w:hAnsi="宋体"/>
          <w:sz w:val="24"/>
        </w:rPr>
      </w:pPr>
      <w:r>
        <w:rPr>
          <w:rFonts w:ascii="宋体" w:hAnsi="宋体"/>
          <w:sz w:val="24"/>
        </w:rPr>
        <w:t>3.2.2</w:t>
      </w:r>
      <w:r>
        <w:rPr>
          <w:rFonts w:hint="eastAsia" w:ascii="宋体" w:hAnsi="宋体"/>
          <w:sz w:val="24"/>
        </w:rPr>
        <w:t>收集、汇总并存储各子平台所产生的知识产权相关数据，并形成相关统计数据，实现对子平台数据的监控和管理；</w:t>
      </w:r>
    </w:p>
    <w:p>
      <w:pPr>
        <w:spacing w:line="440" w:lineRule="exact"/>
        <w:rPr>
          <w:rFonts w:ascii="宋体" w:hAnsi="宋体"/>
          <w:sz w:val="24"/>
        </w:rPr>
      </w:pPr>
      <w:r>
        <w:rPr>
          <w:rFonts w:ascii="宋体" w:hAnsi="宋体"/>
          <w:sz w:val="24"/>
        </w:rPr>
        <w:t>3.2.3</w:t>
      </w:r>
      <w:r>
        <w:rPr>
          <w:rFonts w:hint="eastAsia" w:ascii="宋体" w:hAnsi="宋体"/>
          <w:sz w:val="24"/>
        </w:rPr>
        <w:t>遵照《湖北省政务数据资源应用与管理办法》的相关规定、要求，实现平台相关政务数据资源通过接口共享至省大数据能力平台。实现“高效办成一件事”涉及的数据报表与省大数据能力平台的数据交换共享。</w:t>
      </w:r>
    </w:p>
    <w:p>
      <w:pPr>
        <w:spacing w:line="440" w:lineRule="exact"/>
        <w:rPr>
          <w:rFonts w:ascii="宋体" w:hAnsi="宋体"/>
          <w:sz w:val="24"/>
        </w:rPr>
      </w:pPr>
      <w:bookmarkStart w:id="12" w:name="_Toc1478234042_WPSOffice_Level2"/>
      <w:bookmarkStart w:id="13" w:name="_Toc25903005_WPSOffice_Level2"/>
      <w:bookmarkStart w:id="14" w:name="_Toc1570562189_WPSOffice_Level2"/>
      <w:r>
        <w:rPr>
          <w:rFonts w:ascii="宋体" w:hAnsi="宋体"/>
          <w:sz w:val="24"/>
        </w:rPr>
        <w:t>3.3</w:t>
      </w:r>
      <w:r>
        <w:rPr>
          <w:rFonts w:hint="eastAsia" w:ascii="宋体" w:hAnsi="宋体"/>
          <w:sz w:val="24"/>
        </w:rPr>
        <w:t>移动化支持</w:t>
      </w:r>
      <w:bookmarkEnd w:id="12"/>
      <w:bookmarkEnd w:id="13"/>
      <w:bookmarkEnd w:id="14"/>
    </w:p>
    <w:p>
      <w:pPr>
        <w:spacing w:line="440" w:lineRule="exact"/>
        <w:rPr>
          <w:rFonts w:ascii="宋体" w:hAnsi="宋体"/>
          <w:sz w:val="24"/>
        </w:rPr>
      </w:pPr>
      <w:r>
        <w:rPr>
          <w:rFonts w:ascii="宋体" w:hAnsi="宋体"/>
          <w:sz w:val="24"/>
        </w:rPr>
        <w:t>3.3.1</w:t>
      </w:r>
      <w:r>
        <w:rPr>
          <w:rFonts w:hint="eastAsia" w:ascii="宋体" w:hAnsi="宋体"/>
          <w:sz w:val="24"/>
        </w:rPr>
        <w:t>实现系统框架、信息服务模块、办事服务模块、赛事活动申报模块等页面在移动端分辨率的自适应，布局、菜单、内容等排版按移动端模式展示，保证用户能通过移动端方便的进行系统访问和相关操作。</w:t>
      </w:r>
    </w:p>
    <w:p>
      <w:pPr>
        <w:spacing w:line="440" w:lineRule="exact"/>
        <w:rPr>
          <w:rFonts w:ascii="宋体" w:hAnsi="宋体"/>
          <w:sz w:val="24"/>
        </w:rPr>
      </w:pPr>
      <w:r>
        <w:rPr>
          <w:rFonts w:ascii="宋体" w:hAnsi="宋体"/>
          <w:sz w:val="24"/>
        </w:rPr>
        <w:t>3.3.2</w:t>
      </w:r>
      <w:r>
        <w:rPr>
          <w:rFonts w:hint="eastAsia" w:ascii="宋体" w:hAnsi="宋体"/>
          <w:sz w:val="24"/>
        </w:rPr>
        <w:t>搜索及服务模块的移动化支持。实现搜索输入以及搜索结果展示在移动端分辨率的自适应。</w:t>
      </w:r>
    </w:p>
    <w:p>
      <w:pPr>
        <w:spacing w:line="440" w:lineRule="exact"/>
        <w:rPr>
          <w:rFonts w:ascii="宋体" w:hAnsi="宋体"/>
          <w:sz w:val="24"/>
        </w:rPr>
      </w:pPr>
      <w:r>
        <w:rPr>
          <w:rFonts w:ascii="宋体" w:hAnsi="宋体"/>
          <w:sz w:val="24"/>
        </w:rPr>
        <w:t>3.3.3</w:t>
      </w:r>
      <w:r>
        <w:rPr>
          <w:rFonts w:hint="eastAsia" w:ascii="宋体" w:hAnsi="宋体"/>
          <w:sz w:val="24"/>
        </w:rPr>
        <w:t>实现平台专利、商标大数据可视化子系统的移动化支持。</w:t>
      </w:r>
    </w:p>
    <w:p>
      <w:pPr>
        <w:spacing w:line="440" w:lineRule="exact"/>
        <w:rPr>
          <w:rFonts w:ascii="宋体" w:hAnsi="宋体"/>
          <w:sz w:val="24"/>
        </w:rPr>
      </w:pPr>
      <w:bookmarkStart w:id="15" w:name="_Toc328694278_WPSOffice_Level2"/>
      <w:bookmarkStart w:id="16" w:name="_Toc559191331_WPSOffice_Level2"/>
      <w:bookmarkStart w:id="17" w:name="_Toc734102691_WPSOffice_Level2"/>
      <w:r>
        <w:rPr>
          <w:rFonts w:ascii="宋体" w:hAnsi="宋体"/>
          <w:sz w:val="24"/>
        </w:rPr>
        <w:t>3.4</w:t>
      </w:r>
      <w:r>
        <w:rPr>
          <w:rFonts w:hint="eastAsia" w:ascii="宋体" w:hAnsi="宋体"/>
          <w:sz w:val="24"/>
        </w:rPr>
        <w:t>统一身份认证及电子证照</w:t>
      </w:r>
      <w:bookmarkEnd w:id="15"/>
      <w:bookmarkEnd w:id="16"/>
      <w:bookmarkEnd w:id="17"/>
      <w:r>
        <w:rPr>
          <w:rFonts w:hint="eastAsia" w:ascii="宋体" w:hAnsi="宋体"/>
          <w:sz w:val="24"/>
        </w:rPr>
        <w:t>平台管理接入</w:t>
      </w:r>
    </w:p>
    <w:p>
      <w:pPr>
        <w:spacing w:line="440" w:lineRule="exact"/>
        <w:rPr>
          <w:rFonts w:ascii="宋体" w:hAnsi="宋体"/>
          <w:sz w:val="24"/>
        </w:rPr>
      </w:pPr>
      <w:r>
        <w:rPr>
          <w:rFonts w:ascii="宋体" w:hAnsi="宋体"/>
          <w:sz w:val="24"/>
        </w:rPr>
        <w:t>3.4.1</w:t>
      </w:r>
      <w:r>
        <w:rPr>
          <w:rFonts w:hint="eastAsia" w:ascii="宋体" w:hAnsi="宋体"/>
          <w:sz w:val="24"/>
        </w:rPr>
        <w:t>本项目按照规范性要求，支持用户自行用支付宝、微信扫描注册登陆，并与湖北政务服务网统一身份认证平台的对接。确保个人、主体在访问多个业务子系统时，只需要一次登录。</w:t>
      </w:r>
    </w:p>
    <w:p>
      <w:pPr>
        <w:spacing w:line="440" w:lineRule="exact"/>
        <w:rPr>
          <w:rFonts w:ascii="宋体" w:hAnsi="宋体"/>
          <w:sz w:val="24"/>
        </w:rPr>
      </w:pPr>
      <w:r>
        <w:rPr>
          <w:rFonts w:ascii="宋体" w:hAnsi="宋体"/>
          <w:sz w:val="24"/>
        </w:rPr>
        <w:t>3.4.2</w:t>
      </w:r>
      <w:r>
        <w:rPr>
          <w:rFonts w:hint="eastAsia" w:ascii="宋体" w:hAnsi="宋体"/>
          <w:sz w:val="24"/>
        </w:rPr>
        <w:t>电子证照的对接和管理，根据平台业务系统建设需要和参照湖北政务电子证照系统和相关对接标准规范要求，实现电子证照信息的共享调用，以及证照信息与事项信息的关联耦合。</w:t>
      </w:r>
    </w:p>
    <w:p>
      <w:pPr>
        <w:spacing w:line="440" w:lineRule="exact"/>
        <w:rPr>
          <w:rFonts w:ascii="宋体" w:hAnsi="宋体"/>
          <w:sz w:val="24"/>
        </w:rPr>
      </w:pPr>
      <w:bookmarkStart w:id="18" w:name="_Toc1685820369_WPSOffice_Level2"/>
      <w:bookmarkStart w:id="19" w:name="_Toc1314565121_WPSOffice_Level2"/>
      <w:bookmarkStart w:id="20" w:name="_Toc1064648865_WPSOffice_Level2"/>
      <w:r>
        <w:rPr>
          <w:rFonts w:ascii="宋体" w:hAnsi="宋体"/>
          <w:sz w:val="24"/>
        </w:rPr>
        <w:t>3.5</w:t>
      </w:r>
      <w:r>
        <w:rPr>
          <w:rFonts w:hint="eastAsia" w:ascii="宋体" w:hAnsi="宋体"/>
          <w:sz w:val="24"/>
        </w:rPr>
        <w:t>平台后台管理系统</w:t>
      </w:r>
      <w:bookmarkEnd w:id="18"/>
      <w:bookmarkEnd w:id="19"/>
      <w:bookmarkEnd w:id="20"/>
    </w:p>
    <w:p>
      <w:pPr>
        <w:spacing w:line="440" w:lineRule="exact"/>
        <w:rPr>
          <w:rFonts w:ascii="宋体" w:hAnsi="宋体"/>
          <w:sz w:val="24"/>
        </w:rPr>
      </w:pPr>
      <w:r>
        <w:rPr>
          <w:rFonts w:ascii="宋体" w:hAnsi="宋体"/>
          <w:sz w:val="24"/>
        </w:rPr>
        <w:t>3.5.1</w:t>
      </w:r>
      <w:r>
        <w:rPr>
          <w:rFonts w:hint="eastAsia" w:ascii="宋体" w:hAnsi="宋体"/>
          <w:sz w:val="24"/>
        </w:rPr>
        <w:t>用户信息管理。用户基本信息、登录信息、电子证照等信息的后台运维管理。</w:t>
      </w:r>
    </w:p>
    <w:p>
      <w:pPr>
        <w:spacing w:line="440" w:lineRule="exact"/>
        <w:rPr>
          <w:rFonts w:ascii="宋体" w:hAnsi="宋体"/>
          <w:sz w:val="24"/>
        </w:rPr>
      </w:pPr>
      <w:r>
        <w:rPr>
          <w:rFonts w:ascii="宋体" w:hAnsi="宋体"/>
          <w:sz w:val="24"/>
        </w:rPr>
        <w:t>3.5.2</w:t>
      </w:r>
      <w:r>
        <w:rPr>
          <w:rFonts w:hint="eastAsia" w:ascii="宋体" w:hAnsi="宋体"/>
          <w:sz w:val="24"/>
        </w:rPr>
        <w:t>角色权限管理。根据人员角色，为用户配置相应的系统操作权限。</w:t>
      </w:r>
    </w:p>
    <w:p>
      <w:pPr>
        <w:spacing w:line="440" w:lineRule="exact"/>
        <w:rPr>
          <w:rFonts w:ascii="宋体" w:hAnsi="宋体"/>
          <w:sz w:val="24"/>
        </w:rPr>
      </w:pPr>
      <w:r>
        <w:rPr>
          <w:rFonts w:ascii="宋体" w:hAnsi="宋体"/>
          <w:sz w:val="24"/>
        </w:rPr>
        <w:t>3.5.3</w:t>
      </w:r>
      <w:r>
        <w:rPr>
          <w:rFonts w:hint="eastAsia" w:ascii="宋体" w:hAnsi="宋体"/>
          <w:sz w:val="24"/>
        </w:rPr>
        <w:t>特色服务管理。对特色服务信息进行添加、删除、排序等信息的配置管理。</w:t>
      </w:r>
    </w:p>
    <w:p>
      <w:pPr>
        <w:spacing w:line="440" w:lineRule="exact"/>
        <w:rPr>
          <w:rFonts w:ascii="宋体" w:hAnsi="宋体"/>
          <w:sz w:val="24"/>
        </w:rPr>
      </w:pPr>
      <w:r>
        <w:rPr>
          <w:rFonts w:ascii="宋体" w:hAnsi="宋体"/>
          <w:sz w:val="24"/>
        </w:rPr>
        <w:t>3.5.4</w:t>
      </w:r>
      <w:r>
        <w:rPr>
          <w:rFonts w:hint="eastAsia" w:ascii="宋体" w:hAnsi="宋体"/>
          <w:sz w:val="24"/>
        </w:rPr>
        <w:t>信息查询服务管理。对信息查询进行添加、删除、排序等信息的配置管理。</w:t>
      </w:r>
    </w:p>
    <w:p>
      <w:pPr>
        <w:spacing w:line="440" w:lineRule="exact"/>
        <w:rPr>
          <w:rFonts w:ascii="宋体" w:hAnsi="宋体"/>
          <w:sz w:val="24"/>
        </w:rPr>
      </w:pPr>
      <w:r>
        <w:rPr>
          <w:rFonts w:ascii="宋体" w:hAnsi="宋体"/>
          <w:sz w:val="24"/>
        </w:rPr>
        <w:t>3.5.5</w:t>
      </w:r>
      <w:r>
        <w:rPr>
          <w:rFonts w:hint="eastAsia" w:ascii="宋体" w:hAnsi="宋体"/>
          <w:sz w:val="24"/>
        </w:rPr>
        <w:t>办事服务管理。对办事服务内容进行添加、删除、排序等信息的配置管理。</w:t>
      </w:r>
    </w:p>
    <w:p>
      <w:pPr>
        <w:spacing w:line="440" w:lineRule="exact"/>
        <w:rPr>
          <w:rFonts w:ascii="宋体" w:hAnsi="宋体"/>
          <w:sz w:val="24"/>
        </w:rPr>
      </w:pPr>
      <w:r>
        <w:rPr>
          <w:rFonts w:ascii="宋体" w:hAnsi="宋体"/>
          <w:sz w:val="24"/>
        </w:rPr>
        <w:t>3.5.6</w:t>
      </w:r>
      <w:r>
        <w:rPr>
          <w:rFonts w:hint="eastAsia" w:ascii="宋体" w:hAnsi="宋体"/>
          <w:sz w:val="24"/>
        </w:rPr>
        <w:t>奖项申报和资源创建管理。对奖项申报和资源创建内容进行添加、删除、排序等信息的配置管理。</w:t>
      </w:r>
    </w:p>
    <w:p>
      <w:pPr>
        <w:spacing w:line="440" w:lineRule="exact"/>
        <w:rPr>
          <w:rFonts w:ascii="宋体" w:hAnsi="宋体"/>
          <w:sz w:val="24"/>
        </w:rPr>
      </w:pPr>
      <w:r>
        <w:rPr>
          <w:rFonts w:ascii="宋体" w:hAnsi="宋体"/>
          <w:sz w:val="24"/>
        </w:rPr>
        <w:t>3.5.7</w:t>
      </w:r>
      <w:r>
        <w:rPr>
          <w:rFonts w:hint="eastAsia" w:ascii="宋体" w:hAnsi="宋体"/>
          <w:sz w:val="24"/>
        </w:rPr>
        <w:t>业务咨询管理。对业务咨询内容进行添加、删除、排序等信息的配置管理。</w:t>
      </w:r>
    </w:p>
    <w:p>
      <w:pPr>
        <w:spacing w:line="440" w:lineRule="exact"/>
        <w:rPr>
          <w:rFonts w:ascii="宋体" w:hAnsi="宋体"/>
          <w:sz w:val="24"/>
        </w:rPr>
      </w:pPr>
      <w:r>
        <w:rPr>
          <w:rFonts w:ascii="宋体" w:hAnsi="宋体"/>
          <w:sz w:val="24"/>
        </w:rPr>
        <w:t>3.5.8</w:t>
      </w:r>
      <w:r>
        <w:rPr>
          <w:rFonts w:hint="eastAsia" w:ascii="宋体" w:hAnsi="宋体"/>
          <w:sz w:val="24"/>
        </w:rPr>
        <w:t>成果展示管理。对成果内容进行添加、删除、排序等信息的配置管理。</w:t>
      </w:r>
    </w:p>
    <w:p>
      <w:pPr>
        <w:spacing w:line="440" w:lineRule="exact"/>
        <w:rPr>
          <w:rFonts w:ascii="宋体" w:hAnsi="宋体"/>
          <w:sz w:val="24"/>
        </w:rPr>
      </w:pPr>
      <w:r>
        <w:rPr>
          <w:rFonts w:ascii="宋体" w:hAnsi="宋体"/>
          <w:sz w:val="24"/>
        </w:rPr>
        <w:t>3.5.9</w:t>
      </w:r>
      <w:r>
        <w:rPr>
          <w:rFonts w:hint="eastAsia" w:ascii="宋体" w:hAnsi="宋体"/>
          <w:sz w:val="24"/>
        </w:rPr>
        <w:t>在线学习管理。对在线学习内容进行添加、删除、排序等信息的配置管理。</w:t>
      </w:r>
    </w:p>
    <w:p>
      <w:pPr>
        <w:spacing w:line="440" w:lineRule="exact"/>
        <w:rPr>
          <w:rFonts w:ascii="宋体" w:hAnsi="宋体"/>
          <w:sz w:val="24"/>
        </w:rPr>
      </w:pPr>
      <w:r>
        <w:rPr>
          <w:rFonts w:ascii="宋体" w:hAnsi="宋体"/>
          <w:sz w:val="24"/>
        </w:rPr>
        <w:t>3.5.10</w:t>
      </w:r>
      <w:r>
        <w:rPr>
          <w:rFonts w:hint="eastAsia" w:ascii="宋体" w:hAnsi="宋体"/>
          <w:sz w:val="24"/>
        </w:rPr>
        <w:t>服务资源管理。对知识产权服务资源内容进行添加、删除、排序等信息的配置管理。</w:t>
      </w:r>
    </w:p>
    <w:p>
      <w:pPr>
        <w:spacing w:line="440" w:lineRule="exact"/>
        <w:rPr>
          <w:rFonts w:ascii="宋体" w:hAnsi="宋体"/>
          <w:sz w:val="24"/>
        </w:rPr>
      </w:pPr>
      <w:r>
        <w:rPr>
          <w:rFonts w:ascii="宋体" w:hAnsi="宋体"/>
          <w:sz w:val="24"/>
        </w:rPr>
        <w:t>3.5.11</w:t>
      </w:r>
      <w:r>
        <w:rPr>
          <w:rFonts w:hint="eastAsia" w:ascii="宋体" w:hAnsi="宋体"/>
          <w:sz w:val="24"/>
        </w:rPr>
        <w:t>统计数据管理。对知识产权相关统计信息进行添加、删除、排序等信息的配置管理。</w:t>
      </w:r>
    </w:p>
    <w:p>
      <w:pPr>
        <w:spacing w:line="440" w:lineRule="exact"/>
        <w:rPr>
          <w:rFonts w:ascii="宋体" w:hAnsi="宋体"/>
          <w:sz w:val="24"/>
        </w:rPr>
      </w:pPr>
      <w:r>
        <w:rPr>
          <w:rFonts w:ascii="宋体" w:hAnsi="宋体"/>
          <w:sz w:val="24"/>
        </w:rPr>
        <w:t>3.5.12</w:t>
      </w:r>
      <w:r>
        <w:rPr>
          <w:rFonts w:hint="eastAsia" w:ascii="宋体" w:hAnsi="宋体"/>
          <w:sz w:val="24"/>
        </w:rPr>
        <w:t>用户互动管理。实现平台用户之间互动互答和管理功能。</w:t>
      </w:r>
    </w:p>
    <w:p>
      <w:pPr>
        <w:spacing w:line="440" w:lineRule="exact"/>
        <w:rPr>
          <w:rFonts w:ascii="宋体" w:hAnsi="宋体"/>
          <w:sz w:val="24"/>
        </w:rPr>
      </w:pPr>
      <w:r>
        <w:rPr>
          <w:rFonts w:ascii="宋体" w:hAnsi="宋体"/>
          <w:sz w:val="24"/>
        </w:rPr>
        <w:t>3.5.13</w:t>
      </w:r>
      <w:r>
        <w:rPr>
          <w:rFonts w:hint="eastAsia" w:ascii="宋体" w:hAnsi="宋体"/>
          <w:sz w:val="24"/>
        </w:rPr>
        <w:t>个人收藏、个人导航、个人足迹管理。提供个人收藏、导航、历史访问信息的列表查询和运维管理功能。</w:t>
      </w:r>
    </w:p>
    <w:p>
      <w:pPr>
        <w:spacing w:line="440" w:lineRule="exact"/>
        <w:rPr>
          <w:rFonts w:ascii="宋体" w:hAnsi="宋体"/>
          <w:sz w:val="24"/>
        </w:rPr>
      </w:pPr>
      <w:bookmarkStart w:id="21" w:name="_Toc2052050589_WPSOffice_Level2"/>
      <w:bookmarkStart w:id="22" w:name="_Toc1856316447_WPSOffice_Level2"/>
      <w:bookmarkStart w:id="23" w:name="_Toc1310449205_WPSOffice_Level2"/>
      <w:r>
        <w:rPr>
          <w:rFonts w:ascii="宋体" w:hAnsi="宋体"/>
          <w:sz w:val="24"/>
        </w:rPr>
        <w:t>3.6</w:t>
      </w:r>
      <w:r>
        <w:rPr>
          <w:rFonts w:hint="eastAsia" w:ascii="宋体" w:hAnsi="宋体"/>
          <w:sz w:val="24"/>
        </w:rPr>
        <w:t>搜索即服务</w:t>
      </w:r>
      <w:bookmarkEnd w:id="21"/>
      <w:bookmarkEnd w:id="22"/>
      <w:bookmarkEnd w:id="23"/>
      <w:r>
        <w:rPr>
          <w:rFonts w:hint="eastAsia" w:ascii="宋体" w:hAnsi="宋体"/>
          <w:sz w:val="24"/>
        </w:rPr>
        <w:t>。与湖北专利运用公共服务平台对接，开发一站式多维度搜索服务，实现搜相关信息即展示平台相关服务内容。</w:t>
      </w:r>
    </w:p>
    <w:p>
      <w:pPr>
        <w:spacing w:line="440" w:lineRule="exact"/>
        <w:rPr>
          <w:rFonts w:ascii="宋体" w:hAnsi="宋体"/>
          <w:sz w:val="24"/>
        </w:rPr>
      </w:pPr>
      <w:r>
        <w:rPr>
          <w:rFonts w:ascii="宋体" w:hAnsi="宋体"/>
          <w:sz w:val="24"/>
        </w:rPr>
        <w:t>3.6.1</w:t>
      </w:r>
      <w:r>
        <w:rPr>
          <w:rFonts w:hint="eastAsia" w:ascii="宋体" w:hAnsi="宋体"/>
          <w:sz w:val="24"/>
        </w:rPr>
        <w:t>基础信息搜索。包括专利、商标、企业、人才、地理标志的关键字搜索。</w:t>
      </w:r>
    </w:p>
    <w:p>
      <w:pPr>
        <w:spacing w:line="440" w:lineRule="exact"/>
        <w:rPr>
          <w:rFonts w:ascii="宋体" w:hAnsi="宋体"/>
          <w:sz w:val="24"/>
        </w:rPr>
      </w:pPr>
      <w:r>
        <w:rPr>
          <w:rFonts w:ascii="宋体" w:hAnsi="宋体"/>
          <w:sz w:val="24"/>
        </w:rPr>
        <w:t>3.6.2</w:t>
      </w:r>
      <w:r>
        <w:rPr>
          <w:rFonts w:hint="eastAsia" w:ascii="宋体" w:hAnsi="宋体"/>
          <w:sz w:val="24"/>
        </w:rPr>
        <w:t>关联信息搜索。实现企业匹配专利、专利匹配企业、需求匹配技术、企业匹配人才的匹配搜索。</w:t>
      </w:r>
    </w:p>
    <w:p>
      <w:pPr>
        <w:spacing w:line="440" w:lineRule="exact"/>
        <w:rPr>
          <w:rFonts w:ascii="宋体" w:hAnsi="宋体"/>
          <w:sz w:val="24"/>
        </w:rPr>
      </w:pPr>
      <w:bookmarkStart w:id="24" w:name="_Toc501662532_WPSOffice_Level2"/>
      <w:bookmarkStart w:id="25" w:name="_Toc31564997_WPSOffice_Level2"/>
      <w:bookmarkStart w:id="26" w:name="_Toc1150301606_WPSOffice_Level2"/>
      <w:r>
        <w:rPr>
          <w:rFonts w:ascii="宋体" w:hAnsi="宋体"/>
          <w:sz w:val="24"/>
        </w:rPr>
        <w:t>3.7</w:t>
      </w:r>
      <w:r>
        <w:rPr>
          <w:rFonts w:hint="eastAsia" w:ascii="宋体" w:hAnsi="宋体"/>
          <w:sz w:val="24"/>
        </w:rPr>
        <w:t>专利大数据可视化子系统</w:t>
      </w:r>
      <w:bookmarkEnd w:id="24"/>
      <w:bookmarkEnd w:id="25"/>
      <w:bookmarkEnd w:id="26"/>
      <w:r>
        <w:rPr>
          <w:rFonts w:hint="eastAsia" w:ascii="宋体" w:hAnsi="宋体"/>
          <w:sz w:val="24"/>
        </w:rPr>
        <w:t>。根据湖北省知识产权业务情况对专利数据进行全方位、多层次的多维展示，通过逐层展开的形式，帮助及时了解专利总体指标、趋势情况以及数据详情。</w:t>
      </w:r>
    </w:p>
    <w:p>
      <w:pPr>
        <w:spacing w:line="440" w:lineRule="exact"/>
        <w:rPr>
          <w:rFonts w:ascii="宋体" w:hAnsi="宋体"/>
          <w:sz w:val="24"/>
        </w:rPr>
      </w:pPr>
      <w:r>
        <w:rPr>
          <w:rFonts w:ascii="宋体" w:hAnsi="宋体"/>
          <w:sz w:val="24"/>
        </w:rPr>
        <w:t>3.7.1</w:t>
      </w:r>
      <w:r>
        <w:rPr>
          <w:rFonts w:hint="eastAsia" w:ascii="宋体" w:hAnsi="宋体"/>
          <w:sz w:val="24"/>
        </w:rPr>
        <w:t>可视化第一层。展示全省专利相关业务的总体情况，信息应覆盖专利申请、运用、转换、保护、服务等领域指标。</w:t>
      </w:r>
    </w:p>
    <w:p>
      <w:pPr>
        <w:spacing w:line="440" w:lineRule="exact"/>
        <w:rPr>
          <w:rFonts w:ascii="宋体" w:hAnsi="宋体"/>
          <w:sz w:val="24"/>
        </w:rPr>
      </w:pPr>
      <w:r>
        <w:rPr>
          <w:rFonts w:ascii="宋体" w:hAnsi="宋体"/>
          <w:sz w:val="24"/>
        </w:rPr>
        <w:t>3.7.2</w:t>
      </w:r>
      <w:r>
        <w:rPr>
          <w:rFonts w:hint="eastAsia" w:ascii="宋体" w:hAnsi="宋体"/>
          <w:sz w:val="24"/>
        </w:rPr>
        <w:t>可视化第二层。展开某一项统计数据，查询该项数据的下一层统计分析及趋势情况。</w:t>
      </w:r>
    </w:p>
    <w:p>
      <w:pPr>
        <w:spacing w:line="440" w:lineRule="exact"/>
        <w:rPr>
          <w:rFonts w:ascii="宋体" w:hAnsi="宋体"/>
          <w:sz w:val="24"/>
        </w:rPr>
      </w:pPr>
      <w:r>
        <w:rPr>
          <w:rFonts w:ascii="宋体" w:hAnsi="宋体"/>
          <w:sz w:val="24"/>
        </w:rPr>
        <w:t>3.7.3</w:t>
      </w:r>
      <w:r>
        <w:rPr>
          <w:rFonts w:hint="eastAsia" w:ascii="宋体" w:hAnsi="宋体"/>
          <w:sz w:val="24"/>
        </w:rPr>
        <w:t>可视化第三层。继续展开第二层数据查看详情。</w:t>
      </w:r>
    </w:p>
    <w:p>
      <w:pPr>
        <w:spacing w:line="440" w:lineRule="exact"/>
        <w:rPr>
          <w:rFonts w:ascii="宋体" w:hAnsi="宋体"/>
          <w:sz w:val="24"/>
        </w:rPr>
      </w:pPr>
      <w:bookmarkStart w:id="27" w:name="_Toc236632378_WPSOffice_Level2"/>
      <w:bookmarkStart w:id="28" w:name="_Toc1242207590_WPSOffice_Level2"/>
      <w:bookmarkStart w:id="29" w:name="_Toc1450010192_WPSOffice_Level2"/>
      <w:r>
        <w:rPr>
          <w:rFonts w:ascii="宋体" w:hAnsi="宋体"/>
          <w:sz w:val="24"/>
        </w:rPr>
        <w:t>3.8</w:t>
      </w:r>
      <w:r>
        <w:rPr>
          <w:rFonts w:hint="eastAsia" w:ascii="宋体" w:hAnsi="宋体"/>
          <w:sz w:val="24"/>
        </w:rPr>
        <w:t>商标大数据可视化子系统</w:t>
      </w:r>
      <w:bookmarkEnd w:id="27"/>
      <w:bookmarkEnd w:id="28"/>
      <w:bookmarkEnd w:id="29"/>
      <w:r>
        <w:rPr>
          <w:rFonts w:hint="eastAsia" w:ascii="宋体" w:hAnsi="宋体"/>
          <w:sz w:val="24"/>
        </w:rPr>
        <w:t>。根据湖北省知识产权业务情况对商标数据进行全方位、多层次的多维展示，通过逐层展开的形式，帮助及时了解商标总体指标、趋势情况以及数据详情。</w:t>
      </w:r>
    </w:p>
    <w:p>
      <w:pPr>
        <w:spacing w:line="440" w:lineRule="exact"/>
        <w:rPr>
          <w:rFonts w:ascii="宋体" w:hAnsi="宋体"/>
          <w:sz w:val="24"/>
        </w:rPr>
      </w:pPr>
      <w:r>
        <w:rPr>
          <w:rFonts w:ascii="宋体" w:hAnsi="宋体"/>
          <w:sz w:val="24"/>
        </w:rPr>
        <w:t>3.8.1</w:t>
      </w:r>
      <w:r>
        <w:rPr>
          <w:rFonts w:hint="eastAsia" w:ascii="宋体" w:hAnsi="宋体"/>
          <w:sz w:val="24"/>
        </w:rPr>
        <w:t>可视化第一层。展示全省商标关业务的总体情况，信息应覆盖专利申请、运用、转换、保护、服务等领域指标。</w:t>
      </w:r>
    </w:p>
    <w:p>
      <w:pPr>
        <w:spacing w:line="440" w:lineRule="exact"/>
        <w:rPr>
          <w:rFonts w:ascii="宋体" w:hAnsi="宋体"/>
          <w:sz w:val="24"/>
        </w:rPr>
      </w:pPr>
      <w:r>
        <w:rPr>
          <w:rFonts w:ascii="宋体" w:hAnsi="宋体"/>
          <w:sz w:val="24"/>
        </w:rPr>
        <w:t>3.8.2</w:t>
      </w:r>
      <w:r>
        <w:rPr>
          <w:rFonts w:hint="eastAsia" w:ascii="宋体" w:hAnsi="宋体"/>
          <w:sz w:val="24"/>
        </w:rPr>
        <w:t>可视化第二层。展开某一项统计数据，查询该项数据的下一层统计分析及趋势情况。</w:t>
      </w:r>
    </w:p>
    <w:p>
      <w:pPr>
        <w:spacing w:line="440" w:lineRule="exact"/>
        <w:rPr>
          <w:rFonts w:ascii="宋体" w:hAnsi="宋体"/>
          <w:sz w:val="24"/>
        </w:rPr>
      </w:pPr>
      <w:r>
        <w:rPr>
          <w:rFonts w:ascii="宋体" w:hAnsi="宋体"/>
          <w:sz w:val="24"/>
        </w:rPr>
        <w:t>3.8.3</w:t>
      </w:r>
      <w:r>
        <w:rPr>
          <w:rFonts w:hint="eastAsia" w:ascii="宋体" w:hAnsi="宋体"/>
          <w:sz w:val="24"/>
        </w:rPr>
        <w:t>可视化第三层。继续展开第二层数据查看详情。</w:t>
      </w:r>
    </w:p>
    <w:p>
      <w:pPr>
        <w:spacing w:line="440" w:lineRule="exact"/>
        <w:rPr>
          <w:rFonts w:ascii="宋体" w:hAnsi="宋体"/>
          <w:sz w:val="24"/>
        </w:rPr>
      </w:pPr>
      <w:r>
        <w:rPr>
          <w:rFonts w:ascii="宋体" w:hAnsi="宋体"/>
          <w:sz w:val="24"/>
        </w:rPr>
        <w:t>3.9</w:t>
      </w:r>
      <w:r>
        <w:rPr>
          <w:rFonts w:hint="eastAsia" w:ascii="宋体" w:hAnsi="宋体"/>
          <w:sz w:val="24"/>
        </w:rPr>
        <w:t>技术特性要求。运用标准化、模块化、系列化的开放性设计，遵循系统整体性、先进性、可扩展性、可管理性原则，建立经济合理、高效可靠、资源优化的系统设计方案，平台建设完成后应通过相关等级保护测试。本系统在设计上应遵循以下原则：</w:t>
      </w:r>
    </w:p>
    <w:p>
      <w:pPr>
        <w:spacing w:line="440" w:lineRule="exact"/>
        <w:rPr>
          <w:rFonts w:ascii="宋体" w:hAnsi="宋体"/>
          <w:sz w:val="24"/>
        </w:rPr>
      </w:pPr>
      <w:r>
        <w:rPr>
          <w:rFonts w:ascii="宋体" w:hAnsi="宋体"/>
          <w:sz w:val="24"/>
        </w:rPr>
        <w:t>3.9.1</w:t>
      </w:r>
      <w:r>
        <w:rPr>
          <w:rFonts w:hint="eastAsia" w:ascii="宋体" w:hAnsi="宋体"/>
          <w:sz w:val="24"/>
        </w:rPr>
        <w:t>规范性。系统建设遵循有关国家标准、国际标准、信息化行业相关标准，本平台应支持</w:t>
      </w:r>
      <w:r>
        <w:rPr>
          <w:rFonts w:ascii="宋体" w:hAnsi="宋体"/>
          <w:sz w:val="24"/>
        </w:rPr>
        <w:t>https</w:t>
      </w:r>
      <w:r>
        <w:rPr>
          <w:rFonts w:hint="eastAsia" w:ascii="宋体" w:hAnsi="宋体"/>
          <w:sz w:val="24"/>
        </w:rPr>
        <w:t>和</w:t>
      </w:r>
      <w:r>
        <w:rPr>
          <w:rFonts w:ascii="宋体" w:hAnsi="宋体"/>
          <w:sz w:val="24"/>
        </w:rPr>
        <w:t>IPV6;</w:t>
      </w:r>
      <w:r>
        <w:rPr>
          <w:rFonts w:hint="eastAsia" w:ascii="宋体" w:hAnsi="宋体"/>
          <w:sz w:val="24"/>
        </w:rPr>
        <w:t>制定或完善相关标准规范，确保系统设计、开发、验证、运维全流程信息交互和系统集成的规范性。界面设计遵循有关界面设计规范。</w:t>
      </w:r>
    </w:p>
    <w:p>
      <w:pPr>
        <w:spacing w:line="440" w:lineRule="exact"/>
        <w:rPr>
          <w:rFonts w:ascii="宋体" w:hAnsi="宋体"/>
          <w:sz w:val="24"/>
        </w:rPr>
      </w:pPr>
      <w:r>
        <w:rPr>
          <w:rFonts w:ascii="宋体" w:hAnsi="宋体"/>
          <w:sz w:val="24"/>
        </w:rPr>
        <w:t>3.9.2</w:t>
      </w:r>
      <w:r>
        <w:rPr>
          <w:rFonts w:hint="eastAsia" w:ascii="宋体" w:hAnsi="宋体"/>
          <w:sz w:val="24"/>
        </w:rPr>
        <w:t>扩展性。数据扩展性：对采集数据进行结构化和标准化处理，使系统在日后得以方便的扩充。软件扩展性：软件功能严格采用模块化设计，可重用、可配置、可替换、可卸载。保护前期工程和后继先进技术的衔接。</w:t>
      </w:r>
    </w:p>
    <w:p>
      <w:pPr>
        <w:spacing w:line="440" w:lineRule="exact"/>
        <w:rPr>
          <w:rFonts w:ascii="宋体" w:hAnsi="宋体"/>
          <w:sz w:val="24"/>
        </w:rPr>
      </w:pPr>
      <w:r>
        <w:rPr>
          <w:rFonts w:ascii="宋体" w:hAnsi="宋体"/>
          <w:sz w:val="24"/>
        </w:rPr>
        <w:t>3.9.3</w:t>
      </w:r>
      <w:r>
        <w:rPr>
          <w:rFonts w:hint="eastAsia" w:ascii="宋体" w:hAnsi="宋体"/>
          <w:sz w:val="24"/>
        </w:rPr>
        <w:t>开放性。采用的产品和技术遵循通用的行业标准、开放的系统平台，便于与第三方系统接口对接以及今后增加新的功能。</w:t>
      </w:r>
    </w:p>
    <w:p>
      <w:pPr>
        <w:spacing w:line="440" w:lineRule="exact"/>
        <w:rPr>
          <w:rFonts w:ascii="宋体" w:hAnsi="宋体"/>
          <w:sz w:val="24"/>
        </w:rPr>
      </w:pPr>
      <w:r>
        <w:rPr>
          <w:rFonts w:ascii="宋体" w:hAnsi="宋体"/>
          <w:sz w:val="24"/>
        </w:rPr>
        <w:t>3.9.4</w:t>
      </w:r>
      <w:r>
        <w:rPr>
          <w:rFonts w:hint="eastAsia" w:ascii="宋体" w:hAnsi="宋体"/>
          <w:sz w:val="24"/>
        </w:rPr>
        <w:t>数据安全。确保数据传输、数据使用权限、数据备份和恢复的安全。提供相关安全设计和机制保证数据安全。</w:t>
      </w:r>
    </w:p>
    <w:p>
      <w:pPr>
        <w:spacing w:line="440" w:lineRule="exact"/>
        <w:rPr>
          <w:rFonts w:ascii="宋体" w:hAnsi="宋体"/>
          <w:sz w:val="24"/>
        </w:rPr>
      </w:pPr>
      <w:r>
        <w:rPr>
          <w:rFonts w:ascii="宋体" w:hAnsi="宋体"/>
          <w:sz w:val="24"/>
        </w:rPr>
        <w:t>3.9.5</w:t>
      </w:r>
      <w:r>
        <w:rPr>
          <w:rFonts w:hint="eastAsia" w:ascii="宋体" w:hAnsi="宋体"/>
          <w:sz w:val="24"/>
        </w:rPr>
        <w:t>操作安全。所有登录用户的操作访问，建立日志记录，不允许非法访问。</w:t>
      </w:r>
    </w:p>
    <w:p>
      <w:pPr>
        <w:spacing w:line="440" w:lineRule="exact"/>
        <w:rPr>
          <w:rFonts w:ascii="宋体" w:hAnsi="宋体"/>
          <w:sz w:val="24"/>
        </w:rPr>
      </w:pPr>
      <w:r>
        <w:rPr>
          <w:rFonts w:ascii="宋体" w:hAnsi="宋体"/>
          <w:sz w:val="24"/>
        </w:rPr>
        <w:t>3.10</w:t>
      </w:r>
      <w:r>
        <w:rPr>
          <w:rFonts w:hint="eastAsia" w:ascii="宋体" w:hAnsi="宋体"/>
          <w:sz w:val="24"/>
        </w:rPr>
        <w:t>性能需求。考虑到本项目的内容是知识产权的公共服务平台，面向所有社会公众，所以在系统设计时必须要考虑到性能问题，以下将通过几个方面描述系统在性能方面的设计：</w:t>
      </w:r>
    </w:p>
    <w:p>
      <w:pPr>
        <w:spacing w:line="440" w:lineRule="exact"/>
        <w:rPr>
          <w:rFonts w:ascii="宋体" w:hAnsi="宋体"/>
          <w:sz w:val="24"/>
        </w:rPr>
      </w:pPr>
      <w:r>
        <w:rPr>
          <w:rFonts w:ascii="宋体" w:hAnsi="宋体"/>
          <w:sz w:val="24"/>
        </w:rPr>
        <w:t>3.10.1</w:t>
      </w:r>
      <w:r>
        <w:rPr>
          <w:rFonts w:hint="eastAsia" w:ascii="宋体" w:hAnsi="宋体"/>
          <w:sz w:val="24"/>
        </w:rPr>
        <w:t>支持用户访问。系统将按照</w:t>
      </w:r>
      <w:r>
        <w:rPr>
          <w:rFonts w:ascii="宋体" w:hAnsi="宋体"/>
          <w:sz w:val="24"/>
        </w:rPr>
        <w:t>10000</w:t>
      </w:r>
      <w:r>
        <w:rPr>
          <w:rFonts w:hint="eastAsia" w:ascii="宋体" w:hAnsi="宋体"/>
          <w:sz w:val="24"/>
        </w:rPr>
        <w:t>个用户同时在线的访问进行设计，在不涉及后台数据访问情况下，页面打开速度＜</w:t>
      </w:r>
      <w:r>
        <w:rPr>
          <w:rFonts w:ascii="宋体" w:hAnsi="宋体"/>
          <w:sz w:val="24"/>
        </w:rPr>
        <w:t>1</w:t>
      </w:r>
      <w:r>
        <w:rPr>
          <w:rFonts w:hint="eastAsia" w:ascii="宋体" w:hAnsi="宋体"/>
          <w:sz w:val="24"/>
        </w:rPr>
        <w:t>秒，涉及后台数据访问时</w:t>
      </w:r>
      <w:r>
        <w:rPr>
          <w:rFonts w:ascii="宋体" w:hAnsi="宋体"/>
          <w:sz w:val="24"/>
        </w:rPr>
        <w:t>100</w:t>
      </w:r>
      <w:r>
        <w:rPr>
          <w:rFonts w:hint="eastAsia" w:ascii="宋体" w:hAnsi="宋体"/>
          <w:sz w:val="24"/>
        </w:rPr>
        <w:t>万条数据环境下，单页面打开的速度＜</w:t>
      </w:r>
      <w:r>
        <w:rPr>
          <w:rFonts w:ascii="宋体" w:hAnsi="宋体"/>
          <w:sz w:val="24"/>
        </w:rPr>
        <w:t>2</w:t>
      </w:r>
      <w:r>
        <w:rPr>
          <w:rFonts w:hint="eastAsia" w:ascii="宋体" w:hAnsi="宋体"/>
          <w:sz w:val="24"/>
        </w:rPr>
        <w:t>秒，图片或视频打开速度＜</w:t>
      </w:r>
      <w:r>
        <w:rPr>
          <w:rFonts w:ascii="宋体" w:hAnsi="宋体"/>
          <w:sz w:val="24"/>
        </w:rPr>
        <w:t>3</w:t>
      </w:r>
      <w:r>
        <w:rPr>
          <w:rFonts w:hint="eastAsia" w:ascii="宋体" w:hAnsi="宋体"/>
          <w:sz w:val="24"/>
        </w:rPr>
        <w:t>秒。</w:t>
      </w:r>
    </w:p>
    <w:p>
      <w:pPr>
        <w:spacing w:line="440" w:lineRule="exact"/>
        <w:rPr>
          <w:rFonts w:ascii="宋体" w:hAnsi="宋体"/>
          <w:sz w:val="24"/>
        </w:rPr>
      </w:pPr>
      <w:r>
        <w:rPr>
          <w:rFonts w:ascii="宋体" w:hAnsi="宋体"/>
          <w:sz w:val="24"/>
        </w:rPr>
        <w:t>3.10.2</w:t>
      </w:r>
      <w:r>
        <w:rPr>
          <w:rFonts w:hint="eastAsia" w:ascii="宋体" w:hAnsi="宋体"/>
          <w:sz w:val="24"/>
        </w:rPr>
        <w:t>支持</w:t>
      </w:r>
      <w:r>
        <w:rPr>
          <w:rFonts w:ascii="宋体" w:hAnsi="宋体"/>
          <w:sz w:val="24"/>
        </w:rPr>
        <w:t>7*24</w:t>
      </w:r>
      <w:r>
        <w:rPr>
          <w:rFonts w:hint="eastAsia" w:ascii="宋体" w:hAnsi="宋体"/>
          <w:sz w:val="24"/>
        </w:rPr>
        <w:t>的平台运作要求。系统在正常情况下保证以</w:t>
      </w:r>
      <w:r>
        <w:rPr>
          <w:rFonts w:ascii="宋体" w:hAnsi="宋体"/>
          <w:sz w:val="24"/>
        </w:rPr>
        <w:t>7*24</w:t>
      </w:r>
      <w:r>
        <w:rPr>
          <w:rFonts w:hint="eastAsia" w:ascii="宋体" w:hAnsi="宋体"/>
          <w:sz w:val="24"/>
        </w:rPr>
        <w:t>小时不间断运行，在满足备份要求的情况下，故障恢复的时间在</w:t>
      </w:r>
      <w:r>
        <w:rPr>
          <w:rFonts w:ascii="宋体" w:hAnsi="宋体"/>
          <w:sz w:val="24"/>
        </w:rPr>
        <w:t>30</w:t>
      </w:r>
      <w:r>
        <w:rPr>
          <w:rFonts w:hint="eastAsia" w:ascii="宋体" w:hAnsi="宋体"/>
          <w:sz w:val="24"/>
        </w:rPr>
        <w:t>分钟之内。</w:t>
      </w:r>
    </w:p>
    <w:p>
      <w:pPr>
        <w:spacing w:line="440" w:lineRule="exact"/>
        <w:rPr>
          <w:rFonts w:ascii="宋体" w:hAnsi="宋体"/>
          <w:sz w:val="24"/>
        </w:rPr>
      </w:pPr>
      <w:r>
        <w:rPr>
          <w:rFonts w:ascii="宋体" w:hAnsi="宋体"/>
          <w:sz w:val="24"/>
        </w:rPr>
        <w:t>3.10.3</w:t>
      </w:r>
      <w:r>
        <w:rPr>
          <w:rFonts w:hint="eastAsia" w:ascii="宋体" w:hAnsi="宋体"/>
          <w:sz w:val="24"/>
        </w:rPr>
        <w:t>支持每分钟</w:t>
      </w:r>
      <w:r>
        <w:rPr>
          <w:rFonts w:ascii="宋体" w:hAnsi="宋体"/>
          <w:sz w:val="24"/>
        </w:rPr>
        <w:t>&gt;1000</w:t>
      </w:r>
      <w:r>
        <w:rPr>
          <w:rFonts w:hint="eastAsia" w:ascii="宋体" w:hAnsi="宋体"/>
          <w:sz w:val="24"/>
        </w:rPr>
        <w:t>个事务的触发运作。系统设计考虑到用户的访问数量，因此，需要实现每分钟</w:t>
      </w:r>
      <w:r>
        <w:rPr>
          <w:rFonts w:ascii="宋体" w:hAnsi="宋体"/>
          <w:sz w:val="24"/>
        </w:rPr>
        <w:t>&gt;1000</w:t>
      </w:r>
      <w:r>
        <w:rPr>
          <w:rFonts w:hint="eastAsia" w:ascii="宋体" w:hAnsi="宋体"/>
          <w:sz w:val="24"/>
        </w:rPr>
        <w:t>个事务实例的触发要求，即每分钟支持</w:t>
      </w:r>
      <w:r>
        <w:rPr>
          <w:rFonts w:ascii="宋体" w:hAnsi="宋体"/>
          <w:sz w:val="24"/>
        </w:rPr>
        <w:t>&gt;1000</w:t>
      </w:r>
      <w:r>
        <w:rPr>
          <w:rFonts w:hint="eastAsia" w:ascii="宋体" w:hAnsi="宋体"/>
          <w:sz w:val="24"/>
        </w:rPr>
        <w:t>个业务流程和事务的处理并发要求。</w:t>
      </w:r>
    </w:p>
    <w:p>
      <w:pPr>
        <w:spacing w:line="440" w:lineRule="exact"/>
        <w:rPr>
          <w:rFonts w:ascii="宋体" w:hAnsi="宋体"/>
          <w:sz w:val="24"/>
        </w:rPr>
      </w:pPr>
      <w:r>
        <w:rPr>
          <w:rFonts w:ascii="宋体" w:hAnsi="宋体"/>
          <w:sz w:val="24"/>
        </w:rPr>
        <w:t xml:space="preserve">3.11 </w:t>
      </w:r>
      <w:r>
        <w:rPr>
          <w:rFonts w:hint="eastAsia" w:ascii="宋体" w:hAnsi="宋体"/>
          <w:sz w:val="24"/>
        </w:rPr>
        <w:t>技术参数要求</w:t>
      </w:r>
    </w:p>
    <w:p>
      <w:pPr>
        <w:spacing w:line="440" w:lineRule="exact"/>
        <w:rPr>
          <w:rFonts w:ascii="宋体" w:hAnsi="宋体"/>
          <w:sz w:val="24"/>
        </w:rPr>
      </w:pPr>
      <w:r>
        <w:rPr>
          <w:rFonts w:ascii="宋体" w:hAnsi="宋体"/>
          <w:sz w:val="24"/>
        </w:rPr>
        <w:t>3.11.1</w:t>
      </w:r>
      <w:r>
        <w:rPr>
          <w:rFonts w:hint="eastAsia" w:ascii="宋体" w:hAnsi="宋体"/>
          <w:sz w:val="24"/>
        </w:rPr>
        <w:t>技术体系。平台软件系统要求采用</w:t>
      </w:r>
      <w:r>
        <w:rPr>
          <w:rFonts w:ascii="宋体" w:hAnsi="宋体"/>
          <w:sz w:val="24"/>
        </w:rPr>
        <w:t>B/S</w:t>
      </w:r>
      <w:r>
        <w:rPr>
          <w:rFonts w:hint="eastAsia" w:ascii="宋体" w:hAnsi="宋体"/>
          <w:sz w:val="24"/>
        </w:rPr>
        <w:t>架构，要求框架灵活，方便集成，对于应用服务、接口服务、数据服务等能兼容各类操作系统。</w:t>
      </w:r>
    </w:p>
    <w:p>
      <w:pPr>
        <w:spacing w:line="440" w:lineRule="exact"/>
        <w:rPr>
          <w:rFonts w:ascii="宋体" w:hAnsi="宋体"/>
          <w:sz w:val="24"/>
        </w:rPr>
      </w:pPr>
      <w:bookmarkStart w:id="30" w:name="_Hlk98356809"/>
      <w:r>
        <w:rPr>
          <w:rFonts w:ascii="宋体" w:hAnsi="宋体"/>
          <w:sz w:val="24"/>
        </w:rPr>
        <w:t>3.11.1.1</w:t>
      </w:r>
      <w:r>
        <w:rPr>
          <w:rFonts w:hint="eastAsia" w:ascii="宋体" w:hAnsi="宋体"/>
          <w:sz w:val="24"/>
        </w:rPr>
        <w:t>面向对象的软件设计思想</w:t>
      </w:r>
      <w:bookmarkEnd w:id="30"/>
      <w:r>
        <w:rPr>
          <w:rFonts w:hint="eastAsia" w:ascii="宋体" w:hAnsi="宋体"/>
          <w:sz w:val="24"/>
        </w:rPr>
        <w:t>，采用面向对象的软件开发技术。采用</w:t>
      </w:r>
      <w:r>
        <w:rPr>
          <w:rFonts w:ascii="宋体" w:hAnsi="宋体"/>
          <w:sz w:val="24"/>
        </w:rPr>
        <w:t>J2EE</w:t>
      </w:r>
      <w:r>
        <w:rPr>
          <w:rFonts w:hint="eastAsia" w:ascii="宋体" w:hAnsi="宋体"/>
          <w:sz w:val="24"/>
        </w:rPr>
        <w:t>面向对象的软件工程方法。</w:t>
      </w:r>
    </w:p>
    <w:p>
      <w:pPr>
        <w:spacing w:line="440" w:lineRule="exact"/>
        <w:rPr>
          <w:rFonts w:ascii="宋体" w:hAnsi="宋体"/>
          <w:sz w:val="24"/>
        </w:rPr>
      </w:pPr>
      <w:r>
        <w:rPr>
          <w:rFonts w:ascii="宋体" w:hAnsi="宋体"/>
          <w:sz w:val="24"/>
        </w:rPr>
        <w:t>3.11.1.2</w:t>
      </w:r>
      <w:r>
        <w:rPr>
          <w:rFonts w:hint="eastAsia" w:ascii="宋体" w:hAnsi="宋体"/>
          <w:sz w:val="24"/>
        </w:rPr>
        <w:t>面向服务的体系结构（</w:t>
      </w:r>
      <w:r>
        <w:rPr>
          <w:rFonts w:ascii="宋体" w:hAnsi="宋体"/>
          <w:sz w:val="24"/>
        </w:rPr>
        <w:t>SOA</w:t>
      </w:r>
      <w:r>
        <w:rPr>
          <w:rFonts w:hint="eastAsia" w:ascii="宋体" w:hAnsi="宋体"/>
          <w:sz w:val="24"/>
        </w:rPr>
        <w:t>），定义良好的接口和契约。接口采用中立方式进行定义，独立于实现服务的硬件平台、操作系统和编程语言。构建的服务可以以一种统一和通用的方式进行交互。</w:t>
      </w:r>
    </w:p>
    <w:p>
      <w:pPr>
        <w:spacing w:line="440" w:lineRule="exact"/>
        <w:rPr>
          <w:rFonts w:ascii="宋体" w:hAnsi="宋体"/>
          <w:sz w:val="24"/>
        </w:rPr>
      </w:pPr>
      <w:r>
        <w:rPr>
          <w:rFonts w:ascii="宋体" w:hAnsi="宋体"/>
          <w:sz w:val="24"/>
        </w:rPr>
        <w:t>3.11.1.3 Webservice</w:t>
      </w:r>
      <w:r>
        <w:rPr>
          <w:rFonts w:hint="eastAsia" w:ascii="宋体" w:hAnsi="宋体"/>
          <w:sz w:val="24"/>
        </w:rPr>
        <w:t>接口。采用开放的</w:t>
      </w:r>
      <w:r>
        <w:rPr>
          <w:rFonts w:ascii="宋体" w:hAnsi="宋体"/>
          <w:sz w:val="24"/>
        </w:rPr>
        <w:t>JSON</w:t>
      </w:r>
      <w:r>
        <w:rPr>
          <w:rFonts w:hint="eastAsia" w:ascii="宋体" w:hAnsi="宋体"/>
          <w:sz w:val="24"/>
        </w:rPr>
        <w:t>标准格式来描述、发布、发现、协调和配置应用。采用开发分布式的互操作的应用程序。</w:t>
      </w:r>
    </w:p>
    <w:p>
      <w:pPr>
        <w:spacing w:line="440" w:lineRule="exact"/>
        <w:rPr>
          <w:rFonts w:ascii="宋体" w:hAnsi="宋体"/>
          <w:sz w:val="24"/>
        </w:rPr>
      </w:pPr>
      <w:r>
        <w:rPr>
          <w:rFonts w:ascii="宋体" w:hAnsi="宋体"/>
          <w:sz w:val="24"/>
        </w:rPr>
        <w:t>3.11.2</w:t>
      </w:r>
      <w:r>
        <w:rPr>
          <w:rFonts w:hint="eastAsia" w:ascii="宋体" w:hAnsi="宋体"/>
          <w:sz w:val="24"/>
        </w:rPr>
        <w:t>运行环境要求。结合已有平台采用的技术运行环境和今后平台建设扩展的整体技术路径，同时考虑到系统整体运行的兼容性、扩展性、易用性和可维护性，同时保证有良好的用户体验，要求采用以下运行环境：</w:t>
      </w:r>
    </w:p>
    <w:p>
      <w:pPr>
        <w:spacing w:line="440" w:lineRule="exact"/>
        <w:rPr>
          <w:rFonts w:ascii="宋体" w:hAnsi="宋体"/>
          <w:sz w:val="24"/>
        </w:rPr>
      </w:pPr>
      <w:r>
        <w:rPr>
          <w:rFonts w:ascii="宋体" w:hAnsi="宋体"/>
          <w:sz w:val="24"/>
        </w:rPr>
        <w:t>3.11.2.1</w:t>
      </w:r>
      <w:r>
        <w:rPr>
          <w:rFonts w:hint="eastAsia" w:ascii="宋体" w:hAnsi="宋体"/>
          <w:sz w:val="24"/>
        </w:rPr>
        <w:t>系统运行环境：</w:t>
      </w:r>
      <w:r>
        <w:rPr>
          <w:rFonts w:ascii="宋体" w:hAnsi="宋体"/>
          <w:sz w:val="24"/>
        </w:rPr>
        <w:t>Linux</w:t>
      </w:r>
      <w:r>
        <w:rPr>
          <w:rFonts w:hint="eastAsia" w:ascii="宋体" w:hAnsi="宋体"/>
          <w:sz w:val="24"/>
        </w:rPr>
        <w:t>操作系统</w:t>
      </w:r>
    </w:p>
    <w:p>
      <w:pPr>
        <w:spacing w:line="440" w:lineRule="exact"/>
        <w:rPr>
          <w:rFonts w:ascii="宋体" w:hAnsi="宋体"/>
          <w:sz w:val="24"/>
        </w:rPr>
      </w:pPr>
      <w:r>
        <w:rPr>
          <w:rFonts w:ascii="宋体" w:hAnsi="宋体"/>
          <w:sz w:val="24"/>
        </w:rPr>
        <w:t>3.11.2.2</w:t>
      </w:r>
      <w:r>
        <w:rPr>
          <w:rFonts w:hint="eastAsia" w:ascii="宋体" w:hAnsi="宋体"/>
          <w:sz w:val="24"/>
        </w:rPr>
        <w:t>数据库：国产数据库</w:t>
      </w:r>
    </w:p>
    <w:p>
      <w:pPr>
        <w:spacing w:line="440" w:lineRule="exact"/>
        <w:rPr>
          <w:rFonts w:ascii="宋体" w:hAnsi="宋体"/>
          <w:sz w:val="24"/>
        </w:rPr>
      </w:pPr>
      <w:r>
        <w:rPr>
          <w:rFonts w:ascii="宋体" w:hAnsi="宋体"/>
          <w:sz w:val="24"/>
        </w:rPr>
        <w:t>3.11.2.3</w:t>
      </w:r>
      <w:r>
        <w:rPr>
          <w:rFonts w:hint="eastAsia" w:ascii="宋体" w:hAnsi="宋体"/>
          <w:sz w:val="24"/>
        </w:rPr>
        <w:t>开发语言：</w:t>
      </w:r>
      <w:r>
        <w:rPr>
          <w:rFonts w:ascii="宋体" w:hAnsi="宋体"/>
          <w:sz w:val="24"/>
        </w:rPr>
        <w:t>Java</w:t>
      </w:r>
    </w:p>
    <w:p>
      <w:pPr>
        <w:spacing w:line="440" w:lineRule="exact"/>
        <w:rPr>
          <w:rFonts w:ascii="宋体" w:hAnsi="宋体"/>
          <w:sz w:val="24"/>
        </w:rPr>
      </w:pPr>
      <w:r>
        <w:rPr>
          <w:rFonts w:ascii="宋体" w:hAnsi="宋体"/>
          <w:sz w:val="24"/>
        </w:rPr>
        <w:t>3.11.2.4</w:t>
      </w:r>
      <w:r>
        <w:rPr>
          <w:rFonts w:hint="eastAsia" w:ascii="宋体" w:hAnsi="宋体"/>
          <w:sz w:val="24"/>
        </w:rPr>
        <w:t>编译工具：</w:t>
      </w:r>
      <w:r>
        <w:rPr>
          <w:rFonts w:ascii="宋体" w:hAnsi="宋体"/>
          <w:sz w:val="24"/>
        </w:rPr>
        <w:t>Eclipse</w:t>
      </w:r>
      <w:r>
        <w:rPr>
          <w:rFonts w:hint="eastAsia" w:ascii="宋体" w:hAnsi="宋体"/>
          <w:sz w:val="24"/>
        </w:rPr>
        <w:t>或</w:t>
      </w:r>
      <w:r>
        <w:rPr>
          <w:rFonts w:ascii="宋体" w:hAnsi="宋体"/>
          <w:sz w:val="24"/>
        </w:rPr>
        <w:t>IDEA</w:t>
      </w:r>
      <w:r>
        <w:rPr>
          <w:rFonts w:hint="eastAsia" w:ascii="宋体" w:hAnsi="宋体"/>
          <w:sz w:val="24"/>
        </w:rPr>
        <w:t>等主流工具</w:t>
      </w:r>
    </w:p>
    <w:p>
      <w:pPr>
        <w:spacing w:line="440" w:lineRule="exact"/>
        <w:rPr>
          <w:rFonts w:ascii="宋体" w:hAnsi="宋体"/>
          <w:sz w:val="24"/>
        </w:rPr>
      </w:pPr>
      <w:r>
        <w:rPr>
          <w:rFonts w:ascii="宋体" w:hAnsi="宋体"/>
          <w:sz w:val="24"/>
        </w:rPr>
        <w:t>3.11.2.5</w:t>
      </w:r>
      <w:r>
        <w:rPr>
          <w:rFonts w:hint="eastAsia" w:ascii="宋体" w:hAnsi="宋体"/>
          <w:sz w:val="24"/>
        </w:rPr>
        <w:t>开发框架：</w:t>
      </w:r>
      <w:r>
        <w:rPr>
          <w:rFonts w:ascii="宋体" w:hAnsi="宋体"/>
          <w:sz w:val="24"/>
        </w:rPr>
        <w:t>Spring</w:t>
      </w:r>
    </w:p>
    <w:p>
      <w:pPr>
        <w:spacing w:line="440" w:lineRule="exact"/>
        <w:rPr>
          <w:rFonts w:ascii="宋体" w:hAnsi="宋体"/>
          <w:sz w:val="24"/>
        </w:rPr>
      </w:pPr>
      <w:r>
        <w:rPr>
          <w:rFonts w:ascii="宋体" w:hAnsi="宋体"/>
          <w:sz w:val="24"/>
        </w:rPr>
        <w:t>3.11.2.6</w:t>
      </w:r>
      <w:r>
        <w:rPr>
          <w:rFonts w:hint="eastAsia" w:ascii="宋体" w:hAnsi="宋体"/>
          <w:sz w:val="24"/>
        </w:rPr>
        <w:t>开发环境：</w:t>
      </w:r>
      <w:r>
        <w:rPr>
          <w:rFonts w:ascii="宋体" w:hAnsi="宋体"/>
          <w:sz w:val="24"/>
        </w:rPr>
        <w:t>JDK1.8+</w:t>
      </w:r>
      <w:r>
        <w:rPr>
          <w:rFonts w:hint="eastAsia" w:ascii="宋体" w:hAnsi="宋体"/>
          <w:sz w:val="24"/>
        </w:rPr>
        <w:t>、</w:t>
      </w:r>
      <w:r>
        <w:rPr>
          <w:rFonts w:ascii="宋体" w:hAnsi="宋体"/>
          <w:sz w:val="24"/>
        </w:rPr>
        <w:t>Maven3.5</w:t>
      </w:r>
      <w:r>
        <w:rPr>
          <w:rFonts w:hint="eastAsia" w:ascii="宋体" w:hAnsi="宋体"/>
          <w:sz w:val="24"/>
        </w:rPr>
        <w:t>以上</w:t>
      </w:r>
    </w:p>
    <w:p>
      <w:pPr>
        <w:spacing w:line="440" w:lineRule="exact"/>
        <w:rPr>
          <w:rFonts w:ascii="宋体" w:hAnsi="宋体"/>
          <w:sz w:val="24"/>
        </w:rPr>
      </w:pPr>
      <w:r>
        <w:rPr>
          <w:rFonts w:ascii="宋体" w:hAnsi="宋体"/>
          <w:sz w:val="24"/>
        </w:rPr>
        <w:t>3.11.2.7</w:t>
      </w:r>
      <w:r>
        <w:rPr>
          <w:rFonts w:hint="eastAsia" w:ascii="宋体" w:hAnsi="宋体"/>
          <w:sz w:val="24"/>
        </w:rPr>
        <w:t>前端开发：</w:t>
      </w:r>
      <w:r>
        <w:rPr>
          <w:rFonts w:ascii="宋体" w:hAnsi="宋体"/>
          <w:sz w:val="24"/>
        </w:rPr>
        <w:t>VUE+</w:t>
      </w:r>
      <w:r>
        <w:rPr>
          <w:rFonts w:hint="eastAsia" w:ascii="宋体" w:hAnsi="宋体"/>
          <w:sz w:val="24"/>
        </w:rPr>
        <w:t>成熟前台框架</w:t>
      </w:r>
    </w:p>
    <w:p>
      <w:pPr>
        <w:spacing w:line="440" w:lineRule="exact"/>
        <w:rPr>
          <w:rFonts w:ascii="宋体" w:hAnsi="宋体"/>
          <w:b/>
          <w:sz w:val="24"/>
        </w:rPr>
      </w:pPr>
      <w:r>
        <w:rPr>
          <w:rFonts w:hint="eastAsia" w:ascii="宋体" w:hAnsi="宋体"/>
          <w:b/>
          <w:sz w:val="24"/>
        </w:rPr>
        <w:t>第四部分 商务服务及合同草案条款</w:t>
      </w:r>
    </w:p>
    <w:p>
      <w:pPr>
        <w:spacing w:line="440" w:lineRule="exact"/>
        <w:rPr>
          <w:rFonts w:ascii="宋体" w:hAnsi="宋体"/>
          <w:sz w:val="24"/>
        </w:rPr>
      </w:pPr>
      <w:r>
        <w:rPr>
          <w:rFonts w:ascii="宋体" w:hAnsi="宋体"/>
          <w:sz w:val="24"/>
        </w:rPr>
        <w:t>4.1</w:t>
      </w:r>
      <w:r>
        <w:rPr>
          <w:rFonts w:hint="eastAsia" w:ascii="宋体" w:hAnsi="宋体"/>
          <w:sz w:val="24"/>
        </w:rPr>
        <w:t>交货时间：合同签订后</w:t>
      </w:r>
      <w:r>
        <w:rPr>
          <w:rFonts w:ascii="宋体" w:hAnsi="宋体"/>
          <w:sz w:val="24"/>
        </w:rPr>
        <w:t>2</w:t>
      </w:r>
      <w:r>
        <w:rPr>
          <w:rFonts w:hint="eastAsia" w:ascii="宋体" w:hAnsi="宋体"/>
          <w:sz w:val="24"/>
        </w:rPr>
        <w:t>个月内完成所有工作。</w:t>
      </w:r>
    </w:p>
    <w:p>
      <w:pPr>
        <w:spacing w:line="440" w:lineRule="exact"/>
        <w:rPr>
          <w:rFonts w:ascii="宋体" w:hAnsi="宋体"/>
          <w:sz w:val="24"/>
        </w:rPr>
      </w:pPr>
      <w:r>
        <w:rPr>
          <w:rFonts w:ascii="宋体" w:hAnsi="宋体"/>
          <w:sz w:val="24"/>
        </w:rPr>
        <w:t>4.2</w:t>
      </w:r>
      <w:r>
        <w:rPr>
          <w:rFonts w:hint="eastAsia" w:ascii="宋体" w:hAnsi="宋体"/>
          <w:sz w:val="24"/>
        </w:rPr>
        <w:t>交货安装地点：按合同约定。</w:t>
      </w:r>
    </w:p>
    <w:p>
      <w:pPr>
        <w:spacing w:line="440" w:lineRule="exact"/>
        <w:rPr>
          <w:rFonts w:ascii="宋体" w:hAnsi="宋体"/>
          <w:sz w:val="24"/>
        </w:rPr>
      </w:pPr>
      <w:r>
        <w:rPr>
          <w:rFonts w:ascii="宋体" w:hAnsi="宋体"/>
          <w:sz w:val="24"/>
        </w:rPr>
        <w:t>4.3</w:t>
      </w:r>
      <w:r>
        <w:rPr>
          <w:rFonts w:hint="eastAsia" w:ascii="宋体" w:hAnsi="宋体"/>
          <w:sz w:val="24"/>
        </w:rPr>
        <w:t>付款方式（以合同签订内容为准）</w:t>
      </w:r>
    </w:p>
    <w:p>
      <w:pPr>
        <w:spacing w:line="440" w:lineRule="exact"/>
        <w:rPr>
          <w:rFonts w:ascii="宋体" w:hAnsi="宋体"/>
          <w:sz w:val="24"/>
        </w:rPr>
      </w:pPr>
      <w:r>
        <w:rPr>
          <w:rFonts w:ascii="宋体" w:hAnsi="宋体"/>
          <w:sz w:val="24"/>
        </w:rPr>
        <w:t>4.3.1</w:t>
      </w:r>
      <w:r>
        <w:rPr>
          <w:rFonts w:hint="eastAsia" w:ascii="宋体" w:hAnsi="宋体"/>
          <w:sz w:val="24"/>
        </w:rPr>
        <w:t>合同签订后，支付项目总合同额的</w:t>
      </w:r>
      <w:r>
        <w:rPr>
          <w:rFonts w:ascii="宋体" w:hAnsi="宋体"/>
          <w:sz w:val="24"/>
        </w:rPr>
        <w:t>40%</w:t>
      </w:r>
      <w:r>
        <w:rPr>
          <w:rFonts w:hint="eastAsia" w:ascii="宋体" w:hAnsi="宋体"/>
          <w:sz w:val="24"/>
        </w:rPr>
        <w:t>；</w:t>
      </w:r>
    </w:p>
    <w:p>
      <w:pPr>
        <w:spacing w:line="440" w:lineRule="exact"/>
        <w:rPr>
          <w:rFonts w:ascii="宋体" w:hAnsi="宋体"/>
          <w:sz w:val="24"/>
        </w:rPr>
      </w:pPr>
      <w:r>
        <w:rPr>
          <w:rFonts w:ascii="宋体" w:hAnsi="宋体"/>
          <w:sz w:val="24"/>
        </w:rPr>
        <w:t>4.3.2</w:t>
      </w:r>
      <w:r>
        <w:rPr>
          <w:rFonts w:hint="eastAsia" w:ascii="宋体" w:hAnsi="宋体"/>
          <w:sz w:val="24"/>
        </w:rPr>
        <w:t>项目上线正式运行后，支付项目总合同金额的</w:t>
      </w:r>
      <w:r>
        <w:rPr>
          <w:rFonts w:ascii="宋体" w:hAnsi="宋体"/>
          <w:sz w:val="24"/>
        </w:rPr>
        <w:t>60%</w:t>
      </w:r>
      <w:r>
        <w:rPr>
          <w:rFonts w:hint="eastAsia" w:ascii="宋体" w:hAnsi="宋体"/>
          <w:sz w:val="24"/>
        </w:rPr>
        <w:t>；</w:t>
      </w:r>
    </w:p>
    <w:p>
      <w:pPr>
        <w:spacing w:line="440" w:lineRule="exact"/>
        <w:rPr>
          <w:rFonts w:ascii="宋体" w:hAnsi="宋体"/>
          <w:sz w:val="24"/>
        </w:rPr>
      </w:pPr>
      <w:r>
        <w:rPr>
          <w:rFonts w:ascii="宋体" w:hAnsi="宋体"/>
          <w:sz w:val="24"/>
        </w:rPr>
        <w:t>4.4</w:t>
      </w:r>
      <w:r>
        <w:rPr>
          <w:rFonts w:hint="eastAsia" w:ascii="宋体" w:hAnsi="宋体"/>
          <w:sz w:val="24"/>
        </w:rPr>
        <w:t>验收要求：合同签订后，采购方委托第三方监理公司对项目进行全程监管，由第三方监理公司出具验收申请后，由采购方组织进行验收。</w:t>
      </w:r>
    </w:p>
    <w:p>
      <w:pPr>
        <w:spacing w:line="440" w:lineRule="exact"/>
        <w:rPr>
          <w:rFonts w:ascii="宋体" w:hAnsi="宋体"/>
          <w:sz w:val="24"/>
        </w:rPr>
      </w:pPr>
      <w:r>
        <w:rPr>
          <w:rFonts w:ascii="宋体" w:hAnsi="宋体"/>
          <w:sz w:val="24"/>
        </w:rPr>
        <w:t>4.5</w:t>
      </w:r>
      <w:r>
        <w:rPr>
          <w:rFonts w:hint="eastAsia" w:ascii="宋体" w:hAnsi="宋体"/>
          <w:sz w:val="24"/>
        </w:rPr>
        <w:t>质保服务要求：</w:t>
      </w:r>
      <w:bookmarkStart w:id="31" w:name="_Hlk88307520"/>
      <w:r>
        <w:rPr>
          <w:rFonts w:hint="eastAsia" w:ascii="宋体" w:hAnsi="宋体"/>
          <w:sz w:val="24"/>
        </w:rPr>
        <w:t>自项目验收合格之日起，</w:t>
      </w:r>
      <w:bookmarkStart w:id="32" w:name="_Hlk88307537"/>
      <w:r>
        <w:rPr>
          <w:rFonts w:hint="eastAsia" w:ascii="宋体" w:hAnsi="宋体"/>
          <w:sz w:val="24"/>
        </w:rPr>
        <w:t>提供一年免费运维服务</w:t>
      </w:r>
      <w:bookmarkEnd w:id="32"/>
      <w:r>
        <w:rPr>
          <w:rFonts w:hint="eastAsia" w:ascii="宋体" w:hAnsi="宋体"/>
          <w:sz w:val="24"/>
        </w:rPr>
        <w:t>。</w:t>
      </w:r>
      <w:bookmarkEnd w:id="31"/>
    </w:p>
    <w:p>
      <w:pPr>
        <w:spacing w:line="440" w:lineRule="exact"/>
        <w:rPr>
          <w:rFonts w:ascii="宋体" w:hAnsi="宋体"/>
          <w:sz w:val="24"/>
        </w:rPr>
      </w:pPr>
      <w:r>
        <w:rPr>
          <w:rFonts w:ascii="宋体" w:hAnsi="宋体"/>
          <w:sz w:val="24"/>
        </w:rPr>
        <w:t>4.6</w:t>
      </w:r>
      <w:r>
        <w:rPr>
          <w:rFonts w:hint="eastAsia" w:ascii="宋体" w:hAnsi="宋体"/>
          <w:sz w:val="24"/>
        </w:rPr>
        <w:t>提供售后服务方案；承诺故障响应时间小于</w:t>
      </w:r>
      <w:r>
        <w:rPr>
          <w:rFonts w:ascii="宋体" w:hAnsi="宋体"/>
          <w:sz w:val="24"/>
        </w:rPr>
        <w:t>15</w:t>
      </w:r>
      <w:r>
        <w:rPr>
          <w:rFonts w:hint="eastAsia" w:ascii="宋体" w:hAnsi="宋体"/>
          <w:sz w:val="24"/>
        </w:rPr>
        <w:t>分钟，一般故障</w:t>
      </w:r>
      <w:r>
        <w:rPr>
          <w:rFonts w:ascii="宋体" w:hAnsi="宋体"/>
          <w:sz w:val="24"/>
        </w:rPr>
        <w:t>2</w:t>
      </w:r>
      <w:r>
        <w:rPr>
          <w:rFonts w:hint="eastAsia" w:ascii="宋体" w:hAnsi="宋体"/>
          <w:sz w:val="24"/>
        </w:rPr>
        <w:t>小时内解决，重大故障应在</w:t>
      </w:r>
      <w:r>
        <w:rPr>
          <w:rFonts w:ascii="宋体" w:hAnsi="宋体"/>
          <w:sz w:val="24"/>
        </w:rPr>
        <w:t>12</w:t>
      </w:r>
      <w:r>
        <w:rPr>
          <w:rFonts w:hint="eastAsia" w:ascii="宋体" w:hAnsi="宋体"/>
          <w:sz w:val="24"/>
        </w:rPr>
        <w:t>小时内解决。</w:t>
      </w:r>
    </w:p>
    <w:p>
      <w:pPr>
        <w:spacing w:line="440" w:lineRule="exact"/>
        <w:rPr>
          <w:rFonts w:ascii="宋体" w:hAnsi="宋体"/>
          <w:sz w:val="24"/>
        </w:rPr>
      </w:pPr>
      <w:r>
        <w:rPr>
          <w:rFonts w:ascii="宋体" w:hAnsi="宋体"/>
          <w:sz w:val="24"/>
        </w:rPr>
        <w:t>4.7合同签订后，成交供应商需要提供专人驻场服务直至质保服务期结束。服务期间驻场服务人员不能少于1人。</w:t>
      </w:r>
      <w:r>
        <w:rPr>
          <w:rFonts w:ascii="宋体" w:hAnsi="宋体"/>
          <w:sz w:val="24"/>
        </w:rPr>
        <w:br w:type="textWrapping"/>
      </w:r>
      <w:r>
        <w:rPr>
          <w:rFonts w:ascii="宋体" w:hAnsi="宋体"/>
          <w:sz w:val="24"/>
        </w:rPr>
        <w:t>4.8网站上线后，设置1-2人对公共服务平台软硬件提供运维保障服务（可远程），包括但不限于1、程序、设备日常管理；2、数据、储存、容灾管理；3、平台日常巡检；4、信息安全管理等。巡检过程中发现故障及时向主管部门报告，并根据故障原因立即做出响应，及时排除故障。</w:t>
      </w:r>
    </w:p>
    <w:p>
      <w:pPr>
        <w:spacing w:line="440" w:lineRule="exact"/>
        <w:rPr>
          <w:rFonts w:ascii="宋体" w:hAnsi="宋体"/>
          <w:sz w:val="24"/>
        </w:rPr>
      </w:pPr>
      <w:r>
        <w:rPr>
          <w:rFonts w:ascii="宋体" w:hAnsi="宋体"/>
          <w:sz w:val="24"/>
        </w:rPr>
        <w:t>4.9</w:t>
      </w:r>
      <w:r>
        <w:rPr>
          <w:rFonts w:hint="eastAsia" w:ascii="宋体" w:hAnsi="宋体"/>
          <w:sz w:val="24"/>
        </w:rPr>
        <w:t>配合省知识产权局完成数据资源共享工作。</w:t>
      </w:r>
    </w:p>
    <w:p>
      <w:pPr>
        <w:spacing w:line="440" w:lineRule="exact"/>
        <w:rPr>
          <w:rFonts w:ascii="宋体" w:hAnsi="宋体"/>
          <w:sz w:val="24"/>
        </w:rPr>
      </w:pPr>
      <w:r>
        <w:rPr>
          <w:rFonts w:ascii="宋体" w:hAnsi="宋体"/>
          <w:sz w:val="24"/>
        </w:rPr>
        <w:t>4.10</w:t>
      </w:r>
      <w:r>
        <w:rPr>
          <w:rFonts w:hint="eastAsia" w:ascii="宋体" w:hAnsi="宋体"/>
          <w:sz w:val="24"/>
        </w:rPr>
        <w:t>配合省知识产权局完成系统等级保护。</w:t>
      </w:r>
    </w:p>
    <w:p>
      <w:pPr>
        <w:spacing w:line="440" w:lineRule="exact"/>
        <w:rPr>
          <w:rFonts w:ascii="宋体" w:hAnsi="宋体"/>
          <w:sz w:val="24"/>
        </w:rPr>
      </w:pPr>
      <w:r>
        <w:rPr>
          <w:rFonts w:ascii="宋体" w:hAnsi="宋体"/>
          <w:sz w:val="24"/>
        </w:rPr>
        <w:t>4.11</w:t>
      </w:r>
      <w:r>
        <w:rPr>
          <w:rFonts w:hint="eastAsia" w:ascii="宋体" w:hAnsi="宋体"/>
          <w:sz w:val="24"/>
        </w:rPr>
        <w:t>培训：提供培训方案，涵盖培训方式、培训组织机构、培训内容、培训大纲、培训计划、培训对象等内容；培训次数不得少于</w:t>
      </w:r>
      <w:r>
        <w:rPr>
          <w:rFonts w:ascii="宋体" w:hAnsi="宋体"/>
          <w:sz w:val="24"/>
        </w:rPr>
        <w:t>2</w:t>
      </w:r>
      <w:r>
        <w:rPr>
          <w:rFonts w:hint="eastAsia" w:ascii="宋体" w:hAnsi="宋体"/>
          <w:sz w:val="24"/>
        </w:rPr>
        <w:t>次。</w:t>
      </w:r>
      <w:r>
        <w:rPr>
          <w:rFonts w:ascii="宋体" w:hAnsi="宋体"/>
          <w:sz w:val="24"/>
        </w:rPr>
        <w:t xml:space="preserve"> </w:t>
      </w:r>
    </w:p>
    <w:p>
      <w:pPr>
        <w:spacing w:line="440" w:lineRule="exact"/>
        <w:rPr>
          <w:rFonts w:ascii="宋体" w:hAnsi="宋体"/>
          <w:b/>
          <w:sz w:val="24"/>
        </w:rPr>
      </w:pPr>
      <w:r>
        <w:rPr>
          <w:rFonts w:hint="eastAsia" w:ascii="宋体" w:hAnsi="宋体"/>
          <w:b/>
          <w:sz w:val="24"/>
        </w:rPr>
        <w:t>第五部分：确定成交供应商</w:t>
      </w:r>
    </w:p>
    <w:p>
      <w:pPr>
        <w:spacing w:line="440" w:lineRule="exact"/>
        <w:rPr>
          <w:rFonts w:ascii="宋体" w:hAnsi="宋体"/>
          <w:sz w:val="24"/>
        </w:rPr>
      </w:pPr>
      <w:r>
        <w:rPr>
          <w:rFonts w:hint="eastAsia" w:ascii="宋体" w:hAnsi="宋体"/>
          <w:sz w:val="24"/>
        </w:rPr>
        <w:t>根据符合采购需求、质量和服务相等且报价（评审价）最低的原则确定成交候选供应商。</w:t>
      </w:r>
    </w:p>
    <w:p>
      <w:pPr>
        <w:spacing w:line="440" w:lineRule="exact"/>
        <w:rPr>
          <w:rFonts w:ascii="宋体" w:hAnsi="宋体"/>
          <w:sz w:val="24"/>
        </w:rPr>
      </w:pPr>
    </w:p>
    <w:p>
      <w:pPr>
        <w:widowControl/>
        <w:jc w:val="left"/>
        <w:rPr>
          <w:sz w:val="36"/>
          <w:szCs w:val="36"/>
        </w:rPr>
      </w:pPr>
      <w:r>
        <w:rPr>
          <w:sz w:val="36"/>
          <w:szCs w:val="36"/>
        </w:rPr>
        <w:br w:type="page"/>
      </w:r>
    </w:p>
    <w:p>
      <w:pPr>
        <w:spacing w:line="440" w:lineRule="exact"/>
        <w:jc w:val="center"/>
        <w:rPr>
          <w:rFonts w:ascii="宋体" w:hAnsi="宋体"/>
          <w:b/>
          <w:sz w:val="24"/>
        </w:rPr>
      </w:pPr>
      <w:r>
        <w:rPr>
          <w:b/>
          <w:sz w:val="36"/>
          <w:szCs w:val="36"/>
        </w:rPr>
        <w:t>第四章</w:t>
      </w:r>
      <w:r>
        <w:rPr>
          <w:rFonts w:hint="eastAsia"/>
          <w:b/>
          <w:sz w:val="36"/>
          <w:szCs w:val="36"/>
        </w:rPr>
        <w:t xml:space="preserve">  评审办法及评审标准</w:t>
      </w:r>
      <w:r>
        <w:rPr>
          <w:b/>
          <w:sz w:val="36"/>
          <w:szCs w:val="36"/>
        </w:rPr>
        <w:br w:type="textWrapping"/>
      </w:r>
    </w:p>
    <w:p>
      <w:pPr>
        <w:spacing w:line="440" w:lineRule="exact"/>
        <w:ind w:left="560" w:leftChars="200"/>
        <w:rPr>
          <w:rFonts w:ascii="宋体" w:hAnsi="宋体"/>
          <w:sz w:val="24"/>
        </w:rPr>
      </w:pPr>
      <w:r>
        <w:rPr>
          <w:rFonts w:hint="eastAsia" w:ascii="宋体" w:hAnsi="宋体"/>
          <w:sz w:val="24"/>
        </w:rPr>
        <w:t>一、评审方法</w:t>
      </w:r>
    </w:p>
    <w:p>
      <w:pPr>
        <w:spacing w:line="440" w:lineRule="exact"/>
        <w:ind w:firstLine="480" w:firstLineChars="200"/>
        <w:rPr>
          <w:sz w:val="24"/>
          <w:szCs w:val="21"/>
        </w:rPr>
      </w:pPr>
      <w:r>
        <w:rPr>
          <w:rFonts w:hint="eastAsia" w:cs="宋体"/>
          <w:sz w:val="24"/>
        </w:rPr>
        <w:t>根据符合采购需求、质量和服务相等且评审价最低（面向中小企业项目按报价最低）的原则，确定成交供应商。</w:t>
      </w:r>
    </w:p>
    <w:p>
      <w:pPr>
        <w:spacing w:line="440" w:lineRule="exact"/>
        <w:ind w:firstLine="480" w:firstLineChars="200"/>
        <w:rPr>
          <w:sz w:val="24"/>
          <w:szCs w:val="21"/>
        </w:rPr>
      </w:pPr>
      <w:r>
        <w:rPr>
          <w:rFonts w:hint="eastAsia"/>
          <w:sz w:val="24"/>
          <w:szCs w:val="21"/>
        </w:rPr>
        <w:t>二、评审步骤</w:t>
      </w:r>
    </w:p>
    <w:p>
      <w:pPr>
        <w:spacing w:line="440" w:lineRule="exact"/>
        <w:ind w:firstLine="480" w:firstLineChars="200"/>
        <w:rPr>
          <w:sz w:val="24"/>
          <w:szCs w:val="21"/>
        </w:rPr>
      </w:pPr>
      <w:r>
        <w:rPr>
          <w:rFonts w:hint="eastAsia"/>
          <w:sz w:val="24"/>
          <w:szCs w:val="21"/>
        </w:rPr>
        <w:t>谈判小组对响应文件的评审分为资格性检查和符合性检查、技术服务评议、商务合同条款评议。</w:t>
      </w:r>
    </w:p>
    <w:p>
      <w:pPr>
        <w:spacing w:line="440" w:lineRule="exact"/>
        <w:ind w:firstLine="480" w:firstLineChars="200"/>
        <w:rPr>
          <w:sz w:val="24"/>
          <w:szCs w:val="21"/>
        </w:rPr>
      </w:pPr>
      <w:r>
        <w:rPr>
          <w:rFonts w:hint="eastAsia"/>
          <w:sz w:val="24"/>
          <w:szCs w:val="21"/>
        </w:rPr>
        <w:t>（一）资格性检查和符合性检查</w:t>
      </w:r>
    </w:p>
    <w:p>
      <w:pPr>
        <w:spacing w:line="440" w:lineRule="exact"/>
        <w:ind w:firstLine="480" w:firstLineChars="200"/>
        <w:rPr>
          <w:sz w:val="24"/>
          <w:szCs w:val="21"/>
        </w:rPr>
      </w:pPr>
      <w:r>
        <w:rPr>
          <w:rFonts w:hint="eastAsia"/>
          <w:sz w:val="24"/>
          <w:szCs w:val="21"/>
        </w:rPr>
        <w:t>谈判小组依据《资格性检查和符合性检查表》内容，对照各供应商响应文件的响应情况进行评审。资格性检查和符合性检查不合格的响应文件，不进入下一轮评议。详见《资格性检查和符合性检查表》。</w:t>
      </w:r>
    </w:p>
    <w:p>
      <w:pPr>
        <w:spacing w:line="440" w:lineRule="exact"/>
        <w:ind w:firstLine="480" w:firstLineChars="200"/>
        <w:rPr>
          <w:sz w:val="24"/>
          <w:szCs w:val="21"/>
        </w:rPr>
      </w:pPr>
      <w:r>
        <w:rPr>
          <w:rFonts w:hint="eastAsia"/>
          <w:sz w:val="24"/>
          <w:szCs w:val="21"/>
        </w:rPr>
        <w:t>（二）技术服务评议</w:t>
      </w:r>
    </w:p>
    <w:p>
      <w:pPr>
        <w:spacing w:line="440" w:lineRule="exact"/>
        <w:ind w:firstLine="480" w:firstLineChars="200"/>
        <w:rPr>
          <w:sz w:val="24"/>
          <w:szCs w:val="21"/>
        </w:rPr>
      </w:pPr>
      <w:r>
        <w:rPr>
          <w:rFonts w:hint="eastAsia"/>
          <w:sz w:val="24"/>
          <w:szCs w:val="21"/>
        </w:rPr>
        <w:t>谈判小组依据《技术服务评审表》规定，对照各供应商响应文件的响应情况逐项进行评审，详见《技术服务评审表》。</w:t>
      </w:r>
    </w:p>
    <w:p>
      <w:pPr>
        <w:spacing w:line="440" w:lineRule="exact"/>
        <w:ind w:firstLine="480" w:firstLineChars="200"/>
        <w:rPr>
          <w:sz w:val="24"/>
          <w:szCs w:val="21"/>
        </w:rPr>
      </w:pPr>
      <w:r>
        <w:rPr>
          <w:rFonts w:hint="eastAsia"/>
          <w:sz w:val="24"/>
          <w:szCs w:val="21"/>
        </w:rPr>
        <w:t>（三）商务和合同条款评议</w:t>
      </w:r>
    </w:p>
    <w:p>
      <w:pPr>
        <w:spacing w:line="440" w:lineRule="exact"/>
        <w:ind w:firstLine="480" w:firstLineChars="200"/>
        <w:rPr>
          <w:sz w:val="24"/>
          <w:szCs w:val="21"/>
        </w:rPr>
      </w:pPr>
      <w:r>
        <w:rPr>
          <w:rFonts w:hint="eastAsia"/>
          <w:sz w:val="24"/>
          <w:szCs w:val="21"/>
        </w:rPr>
        <w:t>谈判小组依据《商务和合同条款评审表》规定，对照各供应商响应文件的响应情况进行评审，详见《商务和合同条款评审表》。</w:t>
      </w:r>
    </w:p>
    <w:p>
      <w:pPr>
        <w:spacing w:line="440" w:lineRule="exact"/>
        <w:ind w:firstLine="480" w:firstLineChars="200"/>
        <w:rPr>
          <w:sz w:val="24"/>
          <w:szCs w:val="21"/>
        </w:rPr>
      </w:pPr>
      <w:r>
        <w:rPr>
          <w:rFonts w:hint="eastAsia"/>
          <w:sz w:val="24"/>
          <w:szCs w:val="21"/>
        </w:rPr>
        <w:t>（四）推荐成交候选供应商</w:t>
      </w:r>
    </w:p>
    <w:p>
      <w:pPr>
        <w:spacing w:line="440" w:lineRule="exact"/>
        <w:ind w:firstLine="480" w:firstLineChars="200"/>
        <w:rPr>
          <w:sz w:val="24"/>
          <w:szCs w:val="21"/>
        </w:rPr>
      </w:pPr>
      <w:r>
        <w:rPr>
          <w:rFonts w:hint="eastAsia" w:ascii="宋体" w:hAnsi="宋体"/>
          <w:sz w:val="24"/>
        </w:rPr>
        <w:t>谈判小组从质量和服务均能满足采购文件实质性要求的供应商中，按照评审价或最后报价由低到高的顺序提出3名以上成交候选人，也可按事先授权直接确定成交供应商，并编写评审报告。当出现两个及以上相同最低评审价时，谈判小组按照最后报价由低到高确定评审结果排序；评审价相同，且最后报价也相同的，谈判小组按技术优劣或投票确定评审结果排序。面向小微企业项目，按最后报价由低到高确定评审结果排序</w:t>
      </w:r>
      <w:r>
        <w:rPr>
          <w:rFonts w:hint="eastAsia"/>
          <w:sz w:val="24"/>
          <w:szCs w:val="21"/>
        </w:rPr>
        <w:t>。</w:t>
      </w:r>
    </w:p>
    <w:p>
      <w:pPr>
        <w:rPr>
          <w:sz w:val="24"/>
          <w:szCs w:val="21"/>
        </w:rPr>
      </w:pPr>
      <w:r>
        <w:rPr>
          <w:rFonts w:hint="eastAsia"/>
          <w:sz w:val="24"/>
          <w:szCs w:val="21"/>
        </w:rPr>
        <w:br w:type="page"/>
      </w:r>
    </w:p>
    <w:p>
      <w:pPr>
        <w:spacing w:line="440" w:lineRule="exact"/>
        <w:ind w:firstLine="480" w:firstLineChars="200"/>
        <w:rPr>
          <w:sz w:val="24"/>
          <w:szCs w:val="21"/>
        </w:rPr>
      </w:pPr>
      <w:r>
        <w:rPr>
          <w:rFonts w:hint="eastAsia"/>
          <w:sz w:val="24"/>
          <w:szCs w:val="21"/>
        </w:rPr>
        <w:t>三、评审标准</w:t>
      </w:r>
    </w:p>
    <w:p>
      <w:pPr>
        <w:spacing w:line="440" w:lineRule="exact"/>
        <w:ind w:firstLine="480" w:firstLineChars="200"/>
        <w:rPr>
          <w:sz w:val="24"/>
          <w:szCs w:val="21"/>
        </w:rPr>
      </w:pPr>
      <w:r>
        <w:rPr>
          <w:rFonts w:hint="eastAsia"/>
          <w:sz w:val="24"/>
          <w:szCs w:val="21"/>
        </w:rPr>
        <w:t>（一）资格性检查和符合性检查表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rFonts w:hint="eastAsia"/>
                <w:sz w:val="21"/>
                <w:szCs w:val="21"/>
              </w:rPr>
              <w:t>序号</w:t>
            </w:r>
          </w:p>
        </w:tc>
        <w:tc>
          <w:tcPr>
            <w:tcW w:w="4574" w:type="pct"/>
            <w:shd w:val="clear" w:color="auto" w:fill="auto"/>
            <w:vAlign w:val="center"/>
          </w:tcPr>
          <w:p>
            <w:pPr>
              <w:jc w:val="center"/>
              <w:rPr>
                <w:sz w:val="21"/>
                <w:szCs w:val="21"/>
              </w:rPr>
            </w:pPr>
            <w:r>
              <w:rPr>
                <w:rFonts w:hint="eastAsia"/>
                <w:sz w:val="21"/>
                <w:szCs w:val="21"/>
              </w:rPr>
              <w:t xml:space="preserve">内  </w:t>
            </w:r>
            <w:r>
              <w:rPr>
                <w:sz w:val="21"/>
                <w:szCs w:val="21"/>
              </w:rPr>
              <w:t xml:space="preserve">  </w:t>
            </w:r>
            <w:r>
              <w:rPr>
                <w:rFonts w:hint="eastAsia"/>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 w:hRule="atLeast"/>
        </w:trPr>
        <w:tc>
          <w:tcPr>
            <w:tcW w:w="426" w:type="pct"/>
            <w:shd w:val="clear" w:color="auto" w:fill="auto"/>
            <w:vAlign w:val="center"/>
          </w:tcPr>
          <w:p>
            <w:pPr>
              <w:jc w:val="center"/>
              <w:rPr>
                <w:sz w:val="21"/>
                <w:szCs w:val="21"/>
              </w:rPr>
            </w:pPr>
            <w:r>
              <w:rPr>
                <w:rFonts w:hint="eastAsia"/>
                <w:sz w:val="21"/>
                <w:szCs w:val="21"/>
              </w:rPr>
              <w:t>1</w:t>
            </w:r>
          </w:p>
        </w:tc>
        <w:tc>
          <w:tcPr>
            <w:tcW w:w="4574" w:type="pct"/>
            <w:shd w:val="clear" w:color="auto" w:fill="auto"/>
          </w:tcPr>
          <w:p>
            <w:pPr>
              <w:jc w:val="left"/>
              <w:rPr>
                <w:sz w:val="21"/>
                <w:szCs w:val="21"/>
              </w:rPr>
            </w:pPr>
            <w:r>
              <w:rPr>
                <w:sz w:val="21"/>
                <w:szCs w:val="21"/>
              </w:rPr>
              <w:t>谈判书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trPr>
        <w:tc>
          <w:tcPr>
            <w:tcW w:w="426" w:type="pct"/>
            <w:shd w:val="clear" w:color="auto" w:fill="auto"/>
            <w:vAlign w:val="center"/>
          </w:tcPr>
          <w:p>
            <w:pPr>
              <w:jc w:val="center"/>
              <w:rPr>
                <w:sz w:val="21"/>
                <w:szCs w:val="21"/>
              </w:rPr>
            </w:pPr>
            <w:r>
              <w:rPr>
                <w:rFonts w:hint="eastAsia"/>
                <w:sz w:val="21"/>
                <w:szCs w:val="21"/>
              </w:rPr>
              <w:t>2</w:t>
            </w:r>
          </w:p>
        </w:tc>
        <w:tc>
          <w:tcPr>
            <w:tcW w:w="4574" w:type="pct"/>
            <w:shd w:val="clear" w:color="auto" w:fill="auto"/>
          </w:tcPr>
          <w:p>
            <w:pPr>
              <w:jc w:val="left"/>
              <w:rPr>
                <w:sz w:val="21"/>
                <w:szCs w:val="21"/>
              </w:rPr>
            </w:pPr>
            <w:r>
              <w:rPr>
                <w:sz w:val="21"/>
                <w:szCs w:val="21"/>
              </w:rPr>
              <w:t>报价组成情况表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rFonts w:hint="eastAsia"/>
                <w:sz w:val="21"/>
                <w:szCs w:val="21"/>
              </w:rPr>
              <w:t>3</w:t>
            </w:r>
          </w:p>
        </w:tc>
        <w:tc>
          <w:tcPr>
            <w:tcW w:w="4574" w:type="pct"/>
            <w:shd w:val="clear" w:color="auto" w:fill="auto"/>
          </w:tcPr>
          <w:p>
            <w:pPr>
              <w:jc w:val="left"/>
              <w:rPr>
                <w:sz w:val="21"/>
                <w:szCs w:val="21"/>
              </w:rPr>
            </w:pPr>
            <w:r>
              <w:rPr>
                <w:sz w:val="21"/>
                <w:szCs w:val="21"/>
              </w:rPr>
              <w:t>货物（服务）清单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rFonts w:hint="eastAsia"/>
                <w:sz w:val="21"/>
                <w:szCs w:val="21"/>
              </w:rPr>
              <w:t>4</w:t>
            </w:r>
          </w:p>
        </w:tc>
        <w:tc>
          <w:tcPr>
            <w:tcW w:w="4574" w:type="pct"/>
            <w:shd w:val="clear" w:color="auto" w:fill="auto"/>
          </w:tcPr>
          <w:p>
            <w:pPr>
              <w:jc w:val="left"/>
              <w:rPr>
                <w:sz w:val="21"/>
                <w:szCs w:val="21"/>
              </w:rPr>
            </w:pPr>
            <w:r>
              <w:rPr>
                <w:sz w:val="21"/>
                <w:szCs w:val="21"/>
              </w:rPr>
              <w:t>资格性</w:t>
            </w:r>
            <w:r>
              <w:rPr>
                <w:rFonts w:hint="eastAsia"/>
                <w:sz w:val="21"/>
                <w:szCs w:val="21"/>
              </w:rPr>
              <w:t>检查和</w:t>
            </w:r>
            <w:r>
              <w:rPr>
                <w:sz w:val="21"/>
                <w:szCs w:val="21"/>
              </w:rPr>
              <w:t>符合性检查对照表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sz w:val="21"/>
                <w:szCs w:val="21"/>
              </w:rPr>
              <w:t>5</w:t>
            </w:r>
          </w:p>
        </w:tc>
        <w:tc>
          <w:tcPr>
            <w:tcW w:w="4574" w:type="pct"/>
            <w:shd w:val="clear" w:color="auto" w:fill="auto"/>
          </w:tcPr>
          <w:p>
            <w:pPr>
              <w:jc w:val="left"/>
              <w:rPr>
                <w:sz w:val="21"/>
                <w:szCs w:val="21"/>
              </w:rPr>
            </w:pPr>
            <w:r>
              <w:rPr>
                <w:sz w:val="21"/>
                <w:szCs w:val="21"/>
              </w:rPr>
              <w:t>法人（负责人）代表授权书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sz w:val="21"/>
                <w:szCs w:val="21"/>
              </w:rPr>
              <w:t>6</w:t>
            </w:r>
          </w:p>
        </w:tc>
        <w:tc>
          <w:tcPr>
            <w:tcW w:w="4574" w:type="pct"/>
            <w:shd w:val="clear" w:color="auto" w:fill="auto"/>
          </w:tcPr>
          <w:p>
            <w:pPr>
              <w:jc w:val="left"/>
              <w:rPr>
                <w:sz w:val="21"/>
                <w:szCs w:val="21"/>
              </w:rPr>
            </w:pPr>
            <w:r>
              <w:rPr>
                <w:sz w:val="21"/>
                <w:szCs w:val="21"/>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sz w:val="21"/>
                <w:szCs w:val="21"/>
              </w:rPr>
              <w:t>7</w:t>
            </w:r>
          </w:p>
        </w:tc>
        <w:tc>
          <w:tcPr>
            <w:tcW w:w="4574" w:type="pct"/>
            <w:shd w:val="clear" w:color="auto" w:fill="auto"/>
          </w:tcPr>
          <w:p>
            <w:pPr>
              <w:jc w:val="left"/>
              <w:rPr>
                <w:sz w:val="21"/>
                <w:szCs w:val="21"/>
              </w:rPr>
            </w:pPr>
            <w:r>
              <w:rPr>
                <w:sz w:val="21"/>
                <w:szCs w:val="21"/>
              </w:rPr>
              <w:t>符合国家相关规定的财务状况报告书面承诺书，依法缴纳税收和社会保障资金的书面承诺书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sz w:val="21"/>
                <w:szCs w:val="21"/>
              </w:rPr>
              <w:t>8</w:t>
            </w:r>
          </w:p>
        </w:tc>
        <w:tc>
          <w:tcPr>
            <w:tcW w:w="4574" w:type="pct"/>
            <w:shd w:val="clear" w:color="auto" w:fill="auto"/>
          </w:tcPr>
          <w:p>
            <w:pPr>
              <w:jc w:val="left"/>
              <w:rPr>
                <w:sz w:val="21"/>
                <w:szCs w:val="21"/>
              </w:rPr>
            </w:pPr>
            <w:r>
              <w:rPr>
                <w:sz w:val="21"/>
                <w:szCs w:val="21"/>
              </w:rPr>
              <w:t>具备履行合同所必需的设备和专业技术能力的书面承诺书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sz w:val="21"/>
                <w:szCs w:val="21"/>
              </w:rPr>
              <w:t>9</w:t>
            </w:r>
          </w:p>
        </w:tc>
        <w:tc>
          <w:tcPr>
            <w:tcW w:w="4574" w:type="pct"/>
            <w:shd w:val="clear" w:color="auto" w:fill="auto"/>
          </w:tcPr>
          <w:p>
            <w:pPr>
              <w:jc w:val="left"/>
              <w:rPr>
                <w:sz w:val="21"/>
                <w:szCs w:val="21"/>
              </w:rPr>
            </w:pPr>
            <w:r>
              <w:rPr>
                <w:sz w:val="21"/>
                <w:szCs w:val="21"/>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sz w:val="21"/>
                <w:szCs w:val="21"/>
              </w:rPr>
              <w:t>10</w:t>
            </w:r>
          </w:p>
        </w:tc>
        <w:tc>
          <w:tcPr>
            <w:tcW w:w="4574" w:type="pct"/>
            <w:shd w:val="clear" w:color="auto" w:fill="auto"/>
          </w:tcPr>
          <w:p>
            <w:pPr>
              <w:jc w:val="left"/>
              <w:rPr>
                <w:sz w:val="21"/>
                <w:szCs w:val="21"/>
              </w:rPr>
            </w:pPr>
            <w:r>
              <w:rPr>
                <w:rFonts w:hint="eastAsia"/>
                <w:sz w:val="21"/>
                <w:szCs w:val="21"/>
              </w:rPr>
              <w:t>未被列入“信用中国”网站（www.creditchina.gov.cn）失信被执行人和重大税收违法案件当事人名单以及“中国政府采购网”(www.ccgp.gov.cn)的政府采购严重违法失信行为记录名单</w:t>
            </w:r>
            <w:r>
              <w:rPr>
                <w:sz w:val="21"/>
                <w:szCs w:val="21"/>
              </w:rPr>
              <w:t>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rFonts w:hint="eastAsia"/>
                <w:sz w:val="21"/>
                <w:szCs w:val="21"/>
              </w:rPr>
              <w:t>1</w:t>
            </w:r>
            <w:r>
              <w:rPr>
                <w:sz w:val="21"/>
                <w:szCs w:val="21"/>
              </w:rPr>
              <w:t>1</w:t>
            </w:r>
          </w:p>
        </w:tc>
        <w:tc>
          <w:tcPr>
            <w:tcW w:w="4574" w:type="pct"/>
            <w:shd w:val="clear" w:color="auto" w:fill="auto"/>
          </w:tcPr>
          <w:p>
            <w:pPr>
              <w:jc w:val="left"/>
              <w:rPr>
                <w:sz w:val="21"/>
                <w:szCs w:val="21"/>
              </w:rPr>
            </w:pPr>
            <w:r>
              <w:rPr>
                <w:sz w:val="21"/>
                <w:szCs w:val="21"/>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jc w:val="center"/>
              <w:rPr>
                <w:sz w:val="21"/>
                <w:szCs w:val="21"/>
              </w:rPr>
            </w:pPr>
            <w:r>
              <w:rPr>
                <w:rFonts w:hint="eastAsia"/>
                <w:sz w:val="21"/>
                <w:szCs w:val="21"/>
              </w:rPr>
              <w:t>1</w:t>
            </w:r>
            <w:r>
              <w:rPr>
                <w:sz w:val="21"/>
                <w:szCs w:val="21"/>
              </w:rPr>
              <w:t>2</w:t>
            </w:r>
          </w:p>
        </w:tc>
        <w:tc>
          <w:tcPr>
            <w:tcW w:w="4574" w:type="pct"/>
            <w:shd w:val="clear" w:color="auto" w:fill="auto"/>
          </w:tcPr>
          <w:p>
            <w:pPr>
              <w:rPr>
                <w:sz w:val="21"/>
                <w:szCs w:val="21"/>
              </w:rPr>
            </w:pPr>
            <w:r>
              <w:rPr>
                <w:rFonts w:hint="eastAsia"/>
                <w:sz w:val="21"/>
                <w:szCs w:val="21"/>
              </w:rPr>
              <w:t xml:space="preserve">响应文件有效期: 递交响应文件之日算起 </w:t>
            </w:r>
            <w:r>
              <w:rPr>
                <w:sz w:val="21"/>
                <w:szCs w:val="21"/>
              </w:rPr>
              <w:t xml:space="preserve">90 </w:t>
            </w:r>
            <w:r>
              <w:rPr>
                <w:rFonts w:hint="eastAsia"/>
                <w:sz w:val="21"/>
                <w:szCs w:val="21"/>
              </w:rPr>
              <w:t>日历日内保持有效</w:t>
            </w:r>
          </w:p>
        </w:tc>
      </w:tr>
    </w:tbl>
    <w:p>
      <w:pPr>
        <w:spacing w:line="440" w:lineRule="exact"/>
        <w:ind w:firstLine="480" w:firstLineChars="200"/>
        <w:rPr>
          <w:sz w:val="24"/>
          <w:szCs w:val="21"/>
        </w:rPr>
      </w:pPr>
    </w:p>
    <w:p>
      <w:pPr>
        <w:spacing w:line="440" w:lineRule="exact"/>
        <w:ind w:firstLine="480" w:firstLineChars="200"/>
        <w:rPr>
          <w:sz w:val="24"/>
          <w:szCs w:val="21"/>
        </w:rPr>
      </w:pPr>
      <w:r>
        <w:rPr>
          <w:rFonts w:hint="eastAsia"/>
          <w:sz w:val="24"/>
          <w:szCs w:val="21"/>
        </w:rPr>
        <w:t>（二）技术服务评审表</w:t>
      </w:r>
    </w:p>
    <w:tbl>
      <w:tblPr>
        <w:tblStyle w:val="1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c>
          <w:tcPr>
            <w:tcW w:w="8296" w:type="dxa"/>
          </w:tcPr>
          <w:p>
            <w:pPr>
              <w:spacing w:line="440" w:lineRule="exact"/>
              <w:jc w:val="center"/>
              <w:rPr>
                <w:rFonts w:ascii="宋体" w:hAnsi="宋体"/>
                <w:sz w:val="24"/>
              </w:rPr>
            </w:pPr>
            <w:r>
              <w:rPr>
                <w:rFonts w:hint="eastAsia" w:ascii="宋体" w:hAnsi="宋体"/>
                <w:sz w:val="24"/>
              </w:rPr>
              <w:t>评审</w:t>
            </w:r>
            <w:r>
              <w:rPr>
                <w:rFonts w:ascii="宋体" w:hAnsi="宋体"/>
                <w:sz w:val="24"/>
              </w:rPr>
              <w:t>内容</w:t>
            </w:r>
          </w:p>
        </w:tc>
      </w:tr>
      <w:tr>
        <w:tc>
          <w:tcPr>
            <w:tcW w:w="8296" w:type="dxa"/>
          </w:tcPr>
          <w:p>
            <w:pPr>
              <w:spacing w:line="440" w:lineRule="exact"/>
              <w:rPr>
                <w:rFonts w:ascii="宋体" w:hAnsi="宋体"/>
                <w:sz w:val="24"/>
              </w:rPr>
            </w:pPr>
            <w:r>
              <w:rPr>
                <w:rFonts w:ascii="宋体" w:hAnsi="宋体"/>
                <w:sz w:val="24"/>
              </w:rPr>
              <w:t>3.1</w:t>
            </w:r>
            <w:r>
              <w:rPr>
                <w:rFonts w:hint="eastAsia" w:ascii="宋体" w:hAnsi="宋体"/>
                <w:sz w:val="24"/>
              </w:rPr>
              <w:t>系统框架建设</w:t>
            </w:r>
          </w:p>
        </w:tc>
      </w:tr>
      <w:tr>
        <w:tc>
          <w:tcPr>
            <w:tcW w:w="8296" w:type="dxa"/>
          </w:tcPr>
          <w:p>
            <w:pPr>
              <w:spacing w:line="440" w:lineRule="exact"/>
              <w:rPr>
                <w:rFonts w:ascii="宋体" w:hAnsi="宋体"/>
                <w:sz w:val="24"/>
              </w:rPr>
            </w:pPr>
            <w:r>
              <w:rPr>
                <w:rFonts w:ascii="宋体" w:hAnsi="宋体"/>
                <w:sz w:val="24"/>
              </w:rPr>
              <w:t>3.1.1</w:t>
            </w:r>
            <w:r>
              <w:rPr>
                <w:rFonts w:hint="eastAsia" w:ascii="宋体" w:hAnsi="宋体"/>
                <w:sz w:val="24"/>
              </w:rPr>
              <w:t>特色服务。框架提供特色服务板块，用于集中呈现省知识产权特有的服务。该板块需提供对应的管理功能，进行自定义配置。</w:t>
            </w:r>
          </w:p>
        </w:tc>
      </w:tr>
      <w:tr>
        <w:tc>
          <w:tcPr>
            <w:tcW w:w="8296" w:type="dxa"/>
          </w:tcPr>
          <w:p>
            <w:pPr>
              <w:spacing w:line="440" w:lineRule="exact"/>
              <w:rPr>
                <w:rFonts w:ascii="宋体" w:hAnsi="宋体"/>
                <w:sz w:val="24"/>
              </w:rPr>
            </w:pPr>
            <w:r>
              <w:rPr>
                <w:rFonts w:ascii="宋体" w:hAnsi="宋体"/>
                <w:sz w:val="24"/>
              </w:rPr>
              <w:t>3.1.2</w:t>
            </w:r>
            <w:r>
              <w:rPr>
                <w:rFonts w:hint="eastAsia" w:ascii="宋体" w:hAnsi="宋体"/>
                <w:sz w:val="24"/>
              </w:rPr>
              <w:t>信息查询服务。实现专利、商标、地理标志、机构、人才等信息查询业务的汇集和导航服务。该板块需提供对应的管理功能，进行自定义配置。</w:t>
            </w:r>
          </w:p>
        </w:tc>
      </w:tr>
      <w:tr>
        <w:tc>
          <w:tcPr>
            <w:tcW w:w="8296" w:type="dxa"/>
          </w:tcPr>
          <w:p>
            <w:pPr>
              <w:spacing w:line="440" w:lineRule="exact"/>
              <w:rPr>
                <w:rFonts w:ascii="宋体" w:hAnsi="宋体"/>
                <w:sz w:val="24"/>
              </w:rPr>
            </w:pPr>
            <w:r>
              <w:rPr>
                <w:rFonts w:ascii="宋体" w:hAnsi="宋体"/>
                <w:sz w:val="24"/>
              </w:rPr>
              <w:t>3.1.3</w:t>
            </w:r>
            <w:r>
              <w:rPr>
                <w:rFonts w:hint="eastAsia" w:ascii="宋体" w:hAnsi="宋体"/>
                <w:sz w:val="24"/>
              </w:rPr>
              <w:t>办事服务。实现知识产权办事业务相关应用的一站式办理和导航服务。新建地理标志优品馆、专用标志申请、侵权纠纷、维权援助线上服务等功能模块。该板块需提供对应的管理功能，进行自定义配置。</w:t>
            </w:r>
          </w:p>
        </w:tc>
      </w:tr>
      <w:tr>
        <w:tc>
          <w:tcPr>
            <w:tcW w:w="8296" w:type="dxa"/>
          </w:tcPr>
          <w:p>
            <w:pPr>
              <w:spacing w:line="440" w:lineRule="exact"/>
              <w:rPr>
                <w:rFonts w:ascii="宋体" w:hAnsi="宋体"/>
                <w:sz w:val="24"/>
              </w:rPr>
            </w:pPr>
            <w:r>
              <w:rPr>
                <w:rFonts w:ascii="宋体" w:hAnsi="宋体"/>
                <w:sz w:val="24"/>
              </w:rPr>
              <w:t>3.1.4</w:t>
            </w:r>
            <w:r>
              <w:rPr>
                <w:rFonts w:hint="eastAsia" w:ascii="宋体" w:hAnsi="宋体"/>
                <w:sz w:val="24"/>
              </w:rPr>
              <w:t>奖项申报和资源创建。市场主体可以进行活动报名参加各类大赛或进行资源创建的申请。可下载对应申请模板，在申请时要求填写主体信息、对应的申请资料或附件等，申请提交后，在审核之前可以进行撤回或编辑后重新提交。审核人员可以进行审核，审核完成后，申请人可实时查询申请审核结果。对于当前时间正在举办的活动或赛事，要给出相应状态和信息提示。该板块需提供对应的管理功能，进行自定义配置。</w:t>
            </w:r>
          </w:p>
        </w:tc>
      </w:tr>
      <w:tr>
        <w:tc>
          <w:tcPr>
            <w:tcW w:w="8296" w:type="dxa"/>
          </w:tcPr>
          <w:p>
            <w:pPr>
              <w:spacing w:line="440" w:lineRule="exact"/>
              <w:rPr>
                <w:rFonts w:ascii="宋体" w:hAnsi="宋体"/>
                <w:sz w:val="24"/>
              </w:rPr>
            </w:pPr>
            <w:r>
              <w:rPr>
                <w:rFonts w:ascii="宋体" w:hAnsi="宋体"/>
                <w:sz w:val="24"/>
              </w:rPr>
              <w:t>3.1.5</w:t>
            </w:r>
            <w:r>
              <w:rPr>
                <w:rFonts w:hint="eastAsia" w:ascii="宋体" w:hAnsi="宋体"/>
                <w:sz w:val="24"/>
              </w:rPr>
              <w:t>业务咨询。汇集知识产权咨询业务导航信息，方便用户一站式快速进行业务咨询。该板块需提供对应的管理功能，后台进行自定义配置。</w:t>
            </w:r>
          </w:p>
        </w:tc>
      </w:tr>
      <w:tr>
        <w:tc>
          <w:tcPr>
            <w:tcW w:w="8296" w:type="dxa"/>
          </w:tcPr>
          <w:p>
            <w:pPr>
              <w:spacing w:line="440" w:lineRule="exact"/>
              <w:rPr>
                <w:rFonts w:ascii="宋体" w:hAnsi="宋体"/>
                <w:sz w:val="24"/>
              </w:rPr>
            </w:pPr>
            <w:r>
              <w:rPr>
                <w:rFonts w:ascii="宋体" w:hAnsi="宋体"/>
                <w:sz w:val="24"/>
              </w:rPr>
              <w:t>3.1.6</w:t>
            </w:r>
            <w:r>
              <w:rPr>
                <w:rFonts w:hint="eastAsia" w:ascii="宋体" w:hAnsi="宋体"/>
                <w:sz w:val="24"/>
              </w:rPr>
              <w:t>成果展示。采用时间里程碑方式，动态展示知识产权局历年发展过程中重要的里程碑点、历史表彰及重要奖项，形式直观简洁。该板块需提供对应的管理功能，后台进行自定义配置。</w:t>
            </w:r>
          </w:p>
        </w:tc>
      </w:tr>
      <w:tr>
        <w:tc>
          <w:tcPr>
            <w:tcW w:w="8296" w:type="dxa"/>
          </w:tcPr>
          <w:p>
            <w:pPr>
              <w:spacing w:line="440" w:lineRule="exact"/>
              <w:rPr>
                <w:rFonts w:ascii="宋体" w:hAnsi="宋体"/>
                <w:sz w:val="24"/>
              </w:rPr>
            </w:pPr>
            <w:r>
              <w:rPr>
                <w:rFonts w:ascii="宋体" w:hAnsi="宋体"/>
                <w:sz w:val="24"/>
              </w:rPr>
              <w:t>3.1.7</w:t>
            </w:r>
            <w:r>
              <w:rPr>
                <w:rFonts w:hint="eastAsia" w:ascii="宋体" w:hAnsi="宋体"/>
                <w:sz w:val="24"/>
              </w:rPr>
              <w:t>在线学习。汇集知识产权相关在线学习导航信息。该板块需提供对应的管理功能，后台进行自定义配置。</w:t>
            </w:r>
          </w:p>
        </w:tc>
      </w:tr>
      <w:tr>
        <w:tc>
          <w:tcPr>
            <w:tcW w:w="8296" w:type="dxa"/>
          </w:tcPr>
          <w:p>
            <w:pPr>
              <w:spacing w:line="440" w:lineRule="exact"/>
              <w:rPr>
                <w:rFonts w:ascii="宋体" w:hAnsi="宋体"/>
                <w:sz w:val="24"/>
              </w:rPr>
            </w:pPr>
            <w:r>
              <w:rPr>
                <w:rFonts w:ascii="宋体" w:hAnsi="宋体"/>
                <w:sz w:val="24"/>
              </w:rPr>
              <w:t>3.1.8</w:t>
            </w:r>
            <w:r>
              <w:rPr>
                <w:rFonts w:hint="eastAsia" w:ascii="宋体" w:hAnsi="宋体"/>
                <w:sz w:val="24"/>
              </w:rPr>
              <w:t>服务资源。汇集湖北省各类知识产权服务资源并实现能按各种条件进行服务资源搜索。该板块需提供对应的管理功能，后台进行自定义配置。</w:t>
            </w:r>
          </w:p>
        </w:tc>
      </w:tr>
      <w:tr>
        <w:tc>
          <w:tcPr>
            <w:tcW w:w="8296" w:type="dxa"/>
          </w:tcPr>
          <w:p>
            <w:pPr>
              <w:spacing w:line="440" w:lineRule="exact"/>
              <w:rPr>
                <w:rFonts w:ascii="宋体" w:hAnsi="宋体"/>
                <w:sz w:val="24"/>
              </w:rPr>
            </w:pPr>
            <w:r>
              <w:rPr>
                <w:rFonts w:ascii="宋体" w:hAnsi="宋体"/>
                <w:sz w:val="24"/>
              </w:rPr>
              <w:t>3.1.9</w:t>
            </w:r>
            <w:r>
              <w:rPr>
                <w:rFonts w:hint="eastAsia" w:ascii="宋体" w:hAnsi="宋体"/>
                <w:sz w:val="24"/>
              </w:rPr>
              <w:t>信息统计。提供省、市州等地域的知识产权相关统计分析数据，包括专利申请总量、专利授权总量、有效专利总量、商标注册申请总量、商标注册总量、地理标志总量、保护地理标志产品总量等数据。该板块需提供对应的管理功能，后台进行自定义配置。</w:t>
            </w:r>
          </w:p>
        </w:tc>
      </w:tr>
      <w:tr>
        <w:tc>
          <w:tcPr>
            <w:tcW w:w="8296" w:type="dxa"/>
          </w:tcPr>
          <w:p>
            <w:pPr>
              <w:spacing w:line="440" w:lineRule="exact"/>
              <w:rPr>
                <w:rFonts w:ascii="宋体" w:hAnsi="宋体"/>
                <w:sz w:val="24"/>
              </w:rPr>
            </w:pPr>
            <w:r>
              <w:rPr>
                <w:rFonts w:ascii="宋体" w:hAnsi="宋体"/>
                <w:sz w:val="24"/>
              </w:rPr>
              <w:t>3.1.10</w:t>
            </w:r>
            <w:r>
              <w:rPr>
                <w:rFonts w:hint="eastAsia" w:ascii="宋体" w:hAnsi="宋体"/>
                <w:sz w:val="24"/>
              </w:rPr>
              <w:t>个人中心。</w:t>
            </w:r>
          </w:p>
        </w:tc>
      </w:tr>
      <w:tr>
        <w:tc>
          <w:tcPr>
            <w:tcW w:w="8296" w:type="dxa"/>
          </w:tcPr>
          <w:p>
            <w:pPr>
              <w:spacing w:line="440" w:lineRule="exact"/>
              <w:rPr>
                <w:rFonts w:ascii="宋体" w:hAnsi="宋体"/>
                <w:sz w:val="24"/>
              </w:rPr>
            </w:pPr>
            <w:r>
              <w:rPr>
                <w:rFonts w:ascii="宋体" w:hAnsi="宋体"/>
                <w:sz w:val="24"/>
              </w:rPr>
              <w:t>3.1.10.1</w:t>
            </w:r>
            <w:r>
              <w:rPr>
                <w:rFonts w:hint="eastAsia" w:ascii="宋体" w:hAnsi="宋体"/>
                <w:sz w:val="24"/>
              </w:rPr>
              <w:t>我的主页：主要展现个人的概要信息，如待办事项数、已办事项数、最近访问、最近收藏以及个人定制的快捷导航等，对于内部管理人员，能快速导航到政务管理相关系统进行工作任务处理。</w:t>
            </w:r>
            <w:r>
              <w:rPr>
                <w:rFonts w:ascii="宋体" w:hAnsi="宋体"/>
                <w:sz w:val="24"/>
              </w:rPr>
              <w:tab/>
            </w:r>
          </w:p>
        </w:tc>
      </w:tr>
      <w:tr>
        <w:tc>
          <w:tcPr>
            <w:tcW w:w="8296" w:type="dxa"/>
          </w:tcPr>
          <w:p>
            <w:pPr>
              <w:spacing w:line="440" w:lineRule="exact"/>
              <w:rPr>
                <w:rFonts w:ascii="宋体" w:hAnsi="宋体"/>
                <w:sz w:val="24"/>
              </w:rPr>
            </w:pPr>
            <w:r>
              <w:rPr>
                <w:rFonts w:ascii="宋体" w:hAnsi="宋体"/>
                <w:sz w:val="24"/>
              </w:rPr>
              <w:t>3.1.10.2</w:t>
            </w:r>
            <w:r>
              <w:rPr>
                <w:rFonts w:hint="eastAsia" w:ascii="宋体" w:hAnsi="宋体"/>
                <w:sz w:val="24"/>
              </w:rPr>
              <w:t>我的待办：展示各业务领域产生的责任人是自己的待办任务列表。需要与相关系统进行数据对接。</w:t>
            </w:r>
            <w:r>
              <w:rPr>
                <w:rFonts w:ascii="宋体" w:hAnsi="宋体"/>
                <w:sz w:val="24"/>
              </w:rPr>
              <w:tab/>
            </w:r>
          </w:p>
        </w:tc>
      </w:tr>
      <w:tr>
        <w:tc>
          <w:tcPr>
            <w:tcW w:w="8296" w:type="dxa"/>
          </w:tcPr>
          <w:p>
            <w:pPr>
              <w:spacing w:line="440" w:lineRule="exact"/>
              <w:rPr>
                <w:rFonts w:ascii="宋体" w:hAnsi="宋体"/>
                <w:sz w:val="24"/>
              </w:rPr>
            </w:pPr>
            <w:r>
              <w:rPr>
                <w:rFonts w:ascii="宋体" w:hAnsi="宋体"/>
                <w:sz w:val="24"/>
              </w:rPr>
              <w:t>3.1.10.3</w:t>
            </w:r>
            <w:r>
              <w:rPr>
                <w:rFonts w:hint="eastAsia" w:ascii="宋体" w:hAnsi="宋体"/>
                <w:sz w:val="24"/>
              </w:rPr>
              <w:t>我的已办：展示各业务领域产生的已办任务列表。需要与相关系统进行数据对接。</w:t>
            </w:r>
          </w:p>
        </w:tc>
      </w:tr>
      <w:tr>
        <w:tc>
          <w:tcPr>
            <w:tcW w:w="8296" w:type="dxa"/>
          </w:tcPr>
          <w:p>
            <w:pPr>
              <w:spacing w:line="440" w:lineRule="exact"/>
              <w:rPr>
                <w:rFonts w:ascii="宋体" w:hAnsi="宋体"/>
                <w:sz w:val="24"/>
              </w:rPr>
            </w:pPr>
            <w:r>
              <w:rPr>
                <w:rFonts w:ascii="宋体" w:hAnsi="宋体"/>
                <w:sz w:val="24"/>
              </w:rPr>
              <w:t>3.1.10.4</w:t>
            </w:r>
            <w:r>
              <w:rPr>
                <w:rFonts w:hint="eastAsia" w:ascii="宋体" w:hAnsi="宋体"/>
                <w:sz w:val="24"/>
              </w:rPr>
              <w:t>我的材料：通过系统上传或下载的材料列表展示。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3.1.10.5</w:t>
            </w:r>
            <w:r>
              <w:rPr>
                <w:rFonts w:hint="eastAsia" w:ascii="宋体" w:hAnsi="宋体"/>
                <w:sz w:val="24"/>
              </w:rPr>
              <w:t>我的互动：通过系统发出或收到的互动消息展示。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3.1.10.6</w:t>
            </w:r>
            <w:r>
              <w:rPr>
                <w:rFonts w:hint="eastAsia" w:ascii="宋体" w:hAnsi="宋体"/>
                <w:sz w:val="24"/>
              </w:rPr>
              <w:t>我的收藏：个人收藏的政策法规、学习资料、在线视频等，需要与相关系统进行数据对接。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3.1.10.7</w:t>
            </w:r>
            <w:r>
              <w:rPr>
                <w:rFonts w:hint="eastAsia" w:ascii="宋体" w:hAnsi="宋体"/>
                <w:sz w:val="24"/>
              </w:rPr>
              <w:t>我的足迹：个人访问各功能模块及业务事项的历史记录。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3.2</w:t>
            </w:r>
            <w:r>
              <w:rPr>
                <w:rFonts w:hint="eastAsia" w:ascii="宋体" w:hAnsi="宋体"/>
                <w:sz w:val="24"/>
              </w:rPr>
              <w:t>数据共享交换中心。搭建全省知识产权数据共享交换中心功能模块，汇集存储知识产权领域（专利、商标、地理标志）数据和平台各业务模块产生的业务数据，并提供共享标准接口，实现在管理后台对接口的配置、监控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3.2.1</w:t>
            </w:r>
            <w:r>
              <w:rPr>
                <w:rFonts w:hint="eastAsia" w:ascii="宋体" w:hAnsi="宋体"/>
                <w:sz w:val="24"/>
              </w:rPr>
              <w:t>各子平台可通过该模块实现数据互通、资源共享；</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3.2.2</w:t>
            </w:r>
            <w:r>
              <w:rPr>
                <w:rFonts w:hint="eastAsia" w:ascii="宋体" w:hAnsi="宋体"/>
                <w:sz w:val="24"/>
              </w:rPr>
              <w:t>收集、汇总并存储各子平台所产生的知识产权相关数据，并形成相关统计数据，实现对子平台数据的监控和管理；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3.2.3</w:t>
            </w:r>
            <w:r>
              <w:rPr>
                <w:rFonts w:hint="eastAsia" w:ascii="宋体" w:hAnsi="宋体"/>
                <w:sz w:val="24"/>
              </w:rPr>
              <w:t>遵照《湖北省政务数据资源应用与管理办法》的相关规定、要求，实现平台相关政务数据资源通过接口共享至省大数据能力平台。实现“高效办成一件事”涉及的数据报表与省大数据能力平台的数据交换共享。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3.3</w:t>
            </w:r>
            <w:r>
              <w:rPr>
                <w:rFonts w:hint="eastAsia" w:ascii="宋体" w:hAnsi="宋体"/>
                <w:sz w:val="24"/>
              </w:rPr>
              <w:t>移动化支持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3.3.1</w:t>
            </w:r>
            <w:r>
              <w:rPr>
                <w:rFonts w:hint="eastAsia" w:ascii="宋体" w:hAnsi="宋体"/>
                <w:sz w:val="24"/>
              </w:rPr>
              <w:t>实现系统框架、信息服务模块、办事服务模块、赛事活动申报模块等页面在移动端分辨率的自适应，布局、菜单、内容等排版按移动端模式展示，保证用户能通过移动端方便的进行系统访问和相关操作。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3.3.2</w:t>
            </w:r>
            <w:r>
              <w:rPr>
                <w:rFonts w:hint="eastAsia" w:ascii="宋体" w:hAnsi="宋体"/>
                <w:sz w:val="24"/>
              </w:rPr>
              <w:t>搜索及服务模块的移动化支持。实现搜索输入以及搜索结果展示在移动端分辨率的自适应。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3.3.3</w:t>
            </w:r>
            <w:r>
              <w:rPr>
                <w:rFonts w:hint="eastAsia" w:ascii="宋体" w:hAnsi="宋体"/>
                <w:sz w:val="24"/>
              </w:rPr>
              <w:t>实现平台专利、商标大数据可视化子系统的移动化支持。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3.4</w:t>
            </w:r>
            <w:r>
              <w:rPr>
                <w:rFonts w:hint="eastAsia" w:ascii="宋体" w:hAnsi="宋体"/>
                <w:sz w:val="24"/>
              </w:rPr>
              <w:t>统一身份认证及电子证照平台管理接入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3.4.1</w:t>
            </w:r>
            <w:r>
              <w:rPr>
                <w:rFonts w:hint="eastAsia" w:ascii="宋体" w:hAnsi="宋体"/>
                <w:sz w:val="24"/>
              </w:rPr>
              <w:t>本项目按照规范性要求，支持用户自行用支付宝、微信扫描注册登陆，并与湖北政务服务网统一身份认证平台的对接。确保个人、主体在访问多个业务子系统时，只需要一次登录。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3.4.2</w:t>
            </w:r>
            <w:r>
              <w:rPr>
                <w:rFonts w:hint="eastAsia" w:ascii="宋体" w:hAnsi="宋体"/>
                <w:sz w:val="24"/>
              </w:rPr>
              <w:t>电子证照的对接和管理，根据平台业务系统建设需要和参照湖北政务电子证照系统和相关对接标准规范要求，实现电子证照信息的共享调用，以及证照信息与事项信息的关联耦合。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w:t>
            </w:r>
            <w:r>
              <w:rPr>
                <w:rFonts w:hint="eastAsia" w:ascii="宋体" w:hAnsi="宋体"/>
                <w:sz w:val="24"/>
              </w:rPr>
              <w:t>平台后台管理系统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3.5.1</w:t>
            </w:r>
            <w:r>
              <w:rPr>
                <w:rFonts w:hint="eastAsia" w:ascii="宋体" w:hAnsi="宋体"/>
                <w:sz w:val="24"/>
              </w:rPr>
              <w:t>用户信息管理。用户基本信息、登录信息、电子证照等信息的后台运维管理。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3.5.2</w:t>
            </w:r>
            <w:r>
              <w:rPr>
                <w:rFonts w:hint="eastAsia" w:ascii="宋体" w:hAnsi="宋体"/>
                <w:sz w:val="24"/>
              </w:rPr>
              <w:t>角色权限管理。根据人员角色，为用户配置相应的系统操作权限。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3.5.3</w:t>
            </w:r>
            <w:r>
              <w:rPr>
                <w:rFonts w:hint="eastAsia" w:ascii="宋体" w:hAnsi="宋体"/>
                <w:sz w:val="24"/>
              </w:rPr>
              <w:t>特色服务管理。对特色服务信息进行添加、删除、排序等信息的配置管理。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3.5.4</w:t>
            </w:r>
            <w:r>
              <w:rPr>
                <w:rFonts w:hint="eastAsia" w:ascii="宋体" w:hAnsi="宋体"/>
                <w:sz w:val="24"/>
              </w:rPr>
              <w:t>信息查询服务管理。对信息查询进行添加、删除、排序等信息的配置管理。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3.5.5</w:t>
            </w:r>
            <w:r>
              <w:rPr>
                <w:rFonts w:hint="eastAsia" w:ascii="宋体" w:hAnsi="宋体"/>
                <w:sz w:val="24"/>
              </w:rPr>
              <w:t>办事服务管理。对办事服务内容进行添加、删除、排序等信息的配置管理。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3.5.6</w:t>
            </w:r>
            <w:r>
              <w:rPr>
                <w:rFonts w:hint="eastAsia" w:ascii="宋体" w:hAnsi="宋体"/>
                <w:sz w:val="24"/>
              </w:rPr>
              <w:t>奖项申报和资源创建管理。对奖项申报和资源创建内容进行添加、删除、排序等信息的配置管理。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3.5.7</w:t>
            </w:r>
            <w:r>
              <w:rPr>
                <w:rFonts w:hint="eastAsia" w:ascii="宋体" w:hAnsi="宋体"/>
                <w:sz w:val="24"/>
              </w:rPr>
              <w:t>业务咨询管理。对业务咨询内容进行添加、删除、排序等信息的配置管理。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3.5.8</w:t>
            </w:r>
            <w:r>
              <w:rPr>
                <w:rFonts w:hint="eastAsia" w:ascii="宋体" w:hAnsi="宋体"/>
                <w:sz w:val="24"/>
              </w:rPr>
              <w:t>成果展示管理。对成果内容进行添加、删除、排序等信息的配置管理。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3.5.9</w:t>
            </w:r>
            <w:r>
              <w:rPr>
                <w:rFonts w:hint="eastAsia" w:ascii="宋体" w:hAnsi="宋体"/>
                <w:sz w:val="24"/>
              </w:rPr>
              <w:t>在线学习管理。对在线学习内容进行添加、删除、排序等信息的配置管理。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3.5.10</w:t>
            </w:r>
            <w:r>
              <w:rPr>
                <w:rFonts w:hint="eastAsia" w:ascii="宋体" w:hAnsi="宋体"/>
                <w:sz w:val="24"/>
              </w:rPr>
              <w:t>服务资源管理。对知识产权服务资源内容进行添加、删除、排序等信息的配置管理。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3.5.11</w:t>
            </w:r>
            <w:r>
              <w:rPr>
                <w:rFonts w:hint="eastAsia" w:ascii="宋体" w:hAnsi="宋体"/>
                <w:sz w:val="24"/>
              </w:rPr>
              <w:t>统计数据管理。对知识产权相关统计信息进行添加、删除、排序等信息的配置管理。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3.5.12</w:t>
            </w:r>
            <w:r>
              <w:rPr>
                <w:rFonts w:hint="eastAsia" w:ascii="宋体" w:hAnsi="宋体"/>
                <w:sz w:val="24"/>
              </w:rPr>
              <w:t>用户互动管理。实现平台用户之间互动互答和管理功能。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3.5.13</w:t>
            </w:r>
            <w:r>
              <w:rPr>
                <w:rFonts w:hint="eastAsia" w:ascii="宋体" w:hAnsi="宋体"/>
                <w:sz w:val="24"/>
              </w:rPr>
              <w:t>个人收藏、个人导航、个人足迹管理。提供个人收藏、导航、历史访问信息的列表查询和运维管理功能。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3.6</w:t>
            </w:r>
            <w:r>
              <w:rPr>
                <w:rFonts w:hint="eastAsia" w:ascii="宋体" w:hAnsi="宋体"/>
                <w:sz w:val="24"/>
              </w:rPr>
              <w:t>搜索即服务。与湖北专利运用公共服务平台对接，开发一站式多维度搜索服务，实现搜相关信息即展示平台相关服务内容。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3.6.1</w:t>
            </w:r>
            <w:r>
              <w:rPr>
                <w:rFonts w:hint="eastAsia" w:ascii="宋体" w:hAnsi="宋体"/>
                <w:sz w:val="24"/>
              </w:rPr>
              <w:t>基础信息搜索。包括专利、商标、企业、人才、地理标志的关键字搜索。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3.6.2</w:t>
            </w:r>
            <w:r>
              <w:rPr>
                <w:rFonts w:hint="eastAsia" w:ascii="宋体" w:hAnsi="宋体"/>
                <w:sz w:val="24"/>
              </w:rPr>
              <w:t>关联信息搜索。实现企业匹配专利、专利匹配企业、需求匹配技术、企业匹配人才的匹配搜索。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3.7</w:t>
            </w:r>
            <w:r>
              <w:rPr>
                <w:rFonts w:hint="eastAsia" w:ascii="宋体" w:hAnsi="宋体"/>
                <w:sz w:val="24"/>
              </w:rPr>
              <w:t>专利大数据可视化子系统。根据湖北省知识产权业务情况对专利数据进行全方位、多层次的多维展示，通过逐层展开的形式，帮助及时了解专利总体指标、趋势情况以及数据详情。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3.7.1</w:t>
            </w:r>
            <w:r>
              <w:rPr>
                <w:rFonts w:hint="eastAsia" w:ascii="宋体" w:hAnsi="宋体"/>
                <w:sz w:val="24"/>
              </w:rPr>
              <w:t>可视化第一层。展示全省专利相关业务的总体情况，信息应覆盖专利申请、运用、转换、保护、服务等领域指标。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3.7.2</w:t>
            </w:r>
            <w:r>
              <w:rPr>
                <w:rFonts w:hint="eastAsia" w:ascii="宋体" w:hAnsi="宋体"/>
                <w:sz w:val="24"/>
              </w:rPr>
              <w:t>可视化第二层。展开某一项统计数据，查询该项数据的下一层统计分析及趋势情况。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3.7.3</w:t>
            </w:r>
            <w:r>
              <w:rPr>
                <w:rFonts w:hint="eastAsia" w:ascii="宋体" w:hAnsi="宋体"/>
                <w:sz w:val="24"/>
              </w:rPr>
              <w:t>可视化第三层。继续展开第二层数据查看详情。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3.8</w:t>
            </w:r>
            <w:r>
              <w:rPr>
                <w:rFonts w:hint="eastAsia" w:ascii="宋体" w:hAnsi="宋体"/>
                <w:sz w:val="24"/>
              </w:rPr>
              <w:t>商标大数据可视化子系统。根据湖北省知识产权业务情况对商标数据进行全方位、多层次的多维展示，通过逐层展开的形式，帮助及时了解商标总体指标、趋势情况以及数据详情。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3.8.1</w:t>
            </w:r>
            <w:r>
              <w:rPr>
                <w:rFonts w:hint="eastAsia" w:ascii="宋体" w:hAnsi="宋体"/>
                <w:sz w:val="24"/>
              </w:rPr>
              <w:t>可视化第一层。展示全省商标关业务的总体情况，信息应覆盖专利申请、运用、转换、保护、服务等领域指标。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3.8.2</w:t>
            </w:r>
            <w:r>
              <w:rPr>
                <w:rFonts w:hint="eastAsia" w:ascii="宋体" w:hAnsi="宋体"/>
                <w:sz w:val="24"/>
              </w:rPr>
              <w:t>可视化第二层。展开某一项统计数据，查询该项数据的下一层统计分析及趋势情况。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3.8.3</w:t>
            </w:r>
            <w:r>
              <w:rPr>
                <w:rFonts w:hint="eastAsia" w:ascii="宋体" w:hAnsi="宋体"/>
                <w:sz w:val="24"/>
              </w:rPr>
              <w:t>可视化第三层。继续展开第二层数据查看详情。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3.9</w:t>
            </w:r>
            <w:r>
              <w:rPr>
                <w:rFonts w:hint="eastAsia" w:ascii="宋体" w:hAnsi="宋体"/>
                <w:sz w:val="24"/>
              </w:rPr>
              <w:t>技术特性要求。运用标准化、模块化、系列化的开放性设计，遵循系统整体性、先进性、可扩展性、可管理性原则，建立经济合理、高效可靠、资源优化的系统设计方案，平台建设完成后应通过相关等级保护测试。本系统在设计上应遵循以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3.9.1</w:t>
            </w:r>
            <w:r>
              <w:rPr>
                <w:rFonts w:hint="eastAsia" w:ascii="宋体" w:hAnsi="宋体"/>
                <w:sz w:val="24"/>
              </w:rPr>
              <w:t>规范性。系统建设遵循有关国家标准、国际标准、信息化行业相关标准，本平台应支持</w:t>
            </w:r>
            <w:r>
              <w:rPr>
                <w:rFonts w:ascii="宋体" w:hAnsi="宋体"/>
                <w:sz w:val="24"/>
              </w:rPr>
              <w:t>https</w:t>
            </w:r>
            <w:r>
              <w:rPr>
                <w:rFonts w:hint="eastAsia" w:ascii="宋体" w:hAnsi="宋体"/>
                <w:sz w:val="24"/>
              </w:rPr>
              <w:t>和</w:t>
            </w:r>
            <w:r>
              <w:rPr>
                <w:rFonts w:ascii="宋体" w:hAnsi="宋体"/>
                <w:sz w:val="24"/>
              </w:rPr>
              <w:t>IPV6;</w:t>
            </w:r>
            <w:r>
              <w:rPr>
                <w:rFonts w:hint="eastAsia" w:ascii="宋体" w:hAnsi="宋体"/>
                <w:sz w:val="24"/>
              </w:rPr>
              <w:t>制定或完善相关标准规范，确保系统设计、开发、验证、运维全流程信息交互和系统集成的规范性。界面设计遵循有关界面设计规范。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3.9.2</w:t>
            </w:r>
            <w:r>
              <w:rPr>
                <w:rFonts w:hint="eastAsia" w:ascii="宋体" w:hAnsi="宋体"/>
                <w:sz w:val="24"/>
              </w:rPr>
              <w:t>扩展性。数据扩展性：对采集数据进行结构化和标准化处理，使系统在日后得以方便的扩充。软件扩展性：软件功能严格采用模块化设计，可重用、可配置、可替换、可卸载。保护前期工程和后继先进技术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3.9.3</w:t>
            </w:r>
            <w:r>
              <w:rPr>
                <w:rFonts w:hint="eastAsia" w:ascii="宋体" w:hAnsi="宋体"/>
                <w:sz w:val="24"/>
              </w:rPr>
              <w:t>开放性。采用的产品和技术遵循通用的行业标准、开放的系统平台，便于与第三方系统接口对接以及今后增加新的功能。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3.9.4</w:t>
            </w:r>
            <w:r>
              <w:rPr>
                <w:rFonts w:hint="eastAsia" w:ascii="宋体" w:hAnsi="宋体"/>
                <w:sz w:val="24"/>
              </w:rPr>
              <w:t>数据安全。确保数据传输、数据使用权限、数据备份和恢复的安全。提供相关安全设计和机制保证数据安全。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3.9.5</w:t>
            </w:r>
            <w:r>
              <w:rPr>
                <w:rFonts w:hint="eastAsia" w:ascii="宋体" w:hAnsi="宋体"/>
                <w:sz w:val="24"/>
              </w:rPr>
              <w:t>操作安全。所有登录用户的操作访问，建立日志记录，不允许非法访问。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3.10</w:t>
            </w:r>
            <w:r>
              <w:rPr>
                <w:rFonts w:hint="eastAsia" w:ascii="宋体" w:hAnsi="宋体"/>
                <w:sz w:val="24"/>
              </w:rPr>
              <w:t>性能需求。考虑到本项目的内容是知识产权的公共服务平台，面向所有社会公众，所以在系统设计时必须要考虑到性能问题，以下将通过几个方面描述系统在性能方面的设计：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3.10.1</w:t>
            </w:r>
            <w:r>
              <w:rPr>
                <w:rFonts w:hint="eastAsia" w:ascii="宋体" w:hAnsi="宋体"/>
                <w:sz w:val="24"/>
              </w:rPr>
              <w:t>支持用户访问。系统将按照</w:t>
            </w:r>
            <w:r>
              <w:rPr>
                <w:rFonts w:ascii="宋体" w:hAnsi="宋体"/>
                <w:sz w:val="24"/>
              </w:rPr>
              <w:t>10000</w:t>
            </w:r>
            <w:r>
              <w:rPr>
                <w:rFonts w:hint="eastAsia" w:ascii="宋体" w:hAnsi="宋体"/>
                <w:sz w:val="24"/>
              </w:rPr>
              <w:t>个用户同时在线的访问进行设计，在不涉及后台数据访问情况下，页面打开速度＜</w:t>
            </w:r>
            <w:r>
              <w:rPr>
                <w:rFonts w:ascii="宋体" w:hAnsi="宋体"/>
                <w:sz w:val="24"/>
              </w:rPr>
              <w:t>1</w:t>
            </w:r>
            <w:r>
              <w:rPr>
                <w:rFonts w:hint="eastAsia" w:ascii="宋体" w:hAnsi="宋体"/>
                <w:sz w:val="24"/>
              </w:rPr>
              <w:t>秒，涉及后台数据访问时</w:t>
            </w:r>
            <w:r>
              <w:rPr>
                <w:rFonts w:ascii="宋体" w:hAnsi="宋体"/>
                <w:sz w:val="24"/>
              </w:rPr>
              <w:t>100</w:t>
            </w:r>
            <w:r>
              <w:rPr>
                <w:rFonts w:hint="eastAsia" w:ascii="宋体" w:hAnsi="宋体"/>
                <w:sz w:val="24"/>
              </w:rPr>
              <w:t>万条数据环境下，单页面打开的速度＜</w:t>
            </w:r>
            <w:r>
              <w:rPr>
                <w:rFonts w:ascii="宋体" w:hAnsi="宋体"/>
                <w:sz w:val="24"/>
              </w:rPr>
              <w:t>2</w:t>
            </w:r>
            <w:r>
              <w:rPr>
                <w:rFonts w:hint="eastAsia" w:ascii="宋体" w:hAnsi="宋体"/>
                <w:sz w:val="24"/>
              </w:rPr>
              <w:t>秒，图片或视频打开速度＜</w:t>
            </w:r>
            <w:r>
              <w:rPr>
                <w:rFonts w:ascii="宋体" w:hAnsi="宋体"/>
                <w:sz w:val="24"/>
              </w:rPr>
              <w:t>3</w:t>
            </w:r>
            <w:r>
              <w:rPr>
                <w:rFonts w:hint="eastAsia" w:ascii="宋体" w:hAnsi="宋体"/>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3.10.2</w:t>
            </w:r>
            <w:r>
              <w:rPr>
                <w:rFonts w:hint="eastAsia" w:ascii="宋体" w:hAnsi="宋体"/>
                <w:sz w:val="24"/>
              </w:rPr>
              <w:t>支持</w:t>
            </w:r>
            <w:r>
              <w:rPr>
                <w:rFonts w:ascii="宋体" w:hAnsi="宋体"/>
                <w:sz w:val="24"/>
              </w:rPr>
              <w:t>7*24</w:t>
            </w:r>
            <w:r>
              <w:rPr>
                <w:rFonts w:hint="eastAsia" w:ascii="宋体" w:hAnsi="宋体"/>
                <w:sz w:val="24"/>
              </w:rPr>
              <w:t>的平台运作要求。系统在正常情况下保证以</w:t>
            </w:r>
            <w:r>
              <w:rPr>
                <w:rFonts w:ascii="宋体" w:hAnsi="宋体"/>
                <w:sz w:val="24"/>
              </w:rPr>
              <w:t>7*24</w:t>
            </w:r>
            <w:r>
              <w:rPr>
                <w:rFonts w:hint="eastAsia" w:ascii="宋体" w:hAnsi="宋体"/>
                <w:sz w:val="24"/>
              </w:rPr>
              <w:t>小时不间断运行，在满足备份要求的情况下，故障恢复的时间在</w:t>
            </w:r>
            <w:r>
              <w:rPr>
                <w:rFonts w:ascii="宋体" w:hAnsi="宋体"/>
                <w:sz w:val="24"/>
              </w:rPr>
              <w:t>30</w:t>
            </w:r>
            <w:r>
              <w:rPr>
                <w:rFonts w:hint="eastAsia" w:ascii="宋体" w:hAnsi="宋体"/>
                <w:sz w:val="24"/>
              </w:rPr>
              <w:t>分钟之内。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3.10.3</w:t>
            </w:r>
            <w:r>
              <w:rPr>
                <w:rFonts w:hint="eastAsia" w:ascii="宋体" w:hAnsi="宋体"/>
                <w:sz w:val="24"/>
              </w:rPr>
              <w:t>支持每分钟</w:t>
            </w:r>
            <w:r>
              <w:rPr>
                <w:rFonts w:ascii="宋体" w:hAnsi="宋体"/>
                <w:sz w:val="24"/>
              </w:rPr>
              <w:t>&gt;1000</w:t>
            </w:r>
            <w:r>
              <w:rPr>
                <w:rFonts w:hint="eastAsia" w:ascii="宋体" w:hAnsi="宋体"/>
                <w:sz w:val="24"/>
              </w:rPr>
              <w:t>个事务的触发运作。系统设计考虑到用户的访问数量，因此，需要实现每分钟</w:t>
            </w:r>
            <w:r>
              <w:rPr>
                <w:rFonts w:ascii="宋体" w:hAnsi="宋体"/>
                <w:sz w:val="24"/>
              </w:rPr>
              <w:t>&gt;1000</w:t>
            </w:r>
            <w:r>
              <w:rPr>
                <w:rFonts w:hint="eastAsia" w:ascii="宋体" w:hAnsi="宋体"/>
                <w:sz w:val="24"/>
              </w:rPr>
              <w:t>个事务实例的触发要求，即每分钟支持</w:t>
            </w:r>
            <w:r>
              <w:rPr>
                <w:rFonts w:ascii="宋体" w:hAnsi="宋体"/>
                <w:sz w:val="24"/>
              </w:rPr>
              <w:t>&gt;1000</w:t>
            </w:r>
            <w:r>
              <w:rPr>
                <w:rFonts w:hint="eastAsia" w:ascii="宋体" w:hAnsi="宋体"/>
                <w:sz w:val="24"/>
              </w:rPr>
              <w:t>个业务流程和事务的处理并发要求。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 xml:space="preserve">3.11 </w:t>
            </w:r>
            <w:r>
              <w:rPr>
                <w:rFonts w:hint="eastAsia" w:ascii="宋体" w:hAnsi="宋体"/>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3.11.1</w:t>
            </w:r>
            <w:r>
              <w:rPr>
                <w:rFonts w:hint="eastAsia" w:ascii="宋体" w:hAnsi="宋体"/>
                <w:sz w:val="24"/>
              </w:rPr>
              <w:t>技术体系。平台软件系统要求采用</w:t>
            </w:r>
            <w:r>
              <w:rPr>
                <w:rFonts w:ascii="宋体" w:hAnsi="宋体"/>
                <w:sz w:val="24"/>
              </w:rPr>
              <w:t>B/S</w:t>
            </w:r>
            <w:r>
              <w:rPr>
                <w:rFonts w:hint="eastAsia" w:ascii="宋体" w:hAnsi="宋体"/>
                <w:sz w:val="24"/>
              </w:rPr>
              <w:t>架构，要求框架灵活，方便集成，对于应用服务、接口服务、数据服务等能兼容各类操作系统。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3.11.1.1</w:t>
            </w:r>
            <w:r>
              <w:rPr>
                <w:rFonts w:hint="eastAsia" w:ascii="宋体" w:hAnsi="宋体"/>
                <w:sz w:val="24"/>
              </w:rPr>
              <w:t>面向对象的软件设计思想，采用面向对象的软件开发技术。采用</w:t>
            </w:r>
            <w:r>
              <w:rPr>
                <w:rFonts w:ascii="宋体" w:hAnsi="宋体"/>
                <w:sz w:val="24"/>
              </w:rPr>
              <w:t>J2EE</w:t>
            </w:r>
            <w:r>
              <w:rPr>
                <w:rFonts w:hint="eastAsia" w:ascii="宋体" w:hAnsi="宋体"/>
                <w:sz w:val="24"/>
              </w:rPr>
              <w:t>面向对象的软件工程方法。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3.11.1.2</w:t>
            </w:r>
            <w:r>
              <w:rPr>
                <w:rFonts w:hint="eastAsia" w:ascii="宋体" w:hAnsi="宋体"/>
                <w:sz w:val="24"/>
              </w:rPr>
              <w:t>面向服务的体系结构（</w:t>
            </w:r>
            <w:r>
              <w:rPr>
                <w:rFonts w:ascii="宋体" w:hAnsi="宋体"/>
                <w:sz w:val="24"/>
              </w:rPr>
              <w:t>SOA</w:t>
            </w:r>
            <w:r>
              <w:rPr>
                <w:rFonts w:hint="eastAsia" w:ascii="宋体" w:hAnsi="宋体"/>
                <w:sz w:val="24"/>
              </w:rPr>
              <w:t>），定义良好的接口和契约。接口采用中立方式进行定义，独立于实现服务的硬件平台、操作系统和编程语言。构建的服务可以以一种统一和通用的方式进行交互。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3.11.1.3 Webservice</w:t>
            </w:r>
            <w:r>
              <w:rPr>
                <w:rFonts w:hint="eastAsia" w:ascii="宋体" w:hAnsi="宋体"/>
                <w:sz w:val="24"/>
              </w:rPr>
              <w:t>接口。采用开放的</w:t>
            </w:r>
            <w:r>
              <w:rPr>
                <w:rFonts w:ascii="宋体" w:hAnsi="宋体"/>
                <w:sz w:val="24"/>
              </w:rPr>
              <w:t>JSON</w:t>
            </w:r>
            <w:r>
              <w:rPr>
                <w:rFonts w:hint="eastAsia" w:ascii="宋体" w:hAnsi="宋体"/>
                <w:sz w:val="24"/>
              </w:rPr>
              <w:t>标准格式来描述、发布、发现、协调和配置应用。采用开发分布式的互操作的应用程序。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w:t>
            </w:r>
            <w:r>
              <w:rPr>
                <w:rFonts w:hint="eastAsia" w:ascii="宋体" w:hAnsi="宋体"/>
                <w:sz w:val="24"/>
              </w:rPr>
              <w:t>运行环境要求。结合已有平台采用的技术运行环境和今后平台建设扩展的整体技术路径，同时考虑到系统整体运行的兼容性、扩展性、易用性和可维护性，同时保证有良好的用户体验，要求采用以下运行环境：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3.11.2.1</w:t>
            </w:r>
            <w:r>
              <w:rPr>
                <w:rFonts w:hint="eastAsia" w:ascii="宋体" w:hAnsi="宋体"/>
                <w:sz w:val="24"/>
              </w:rPr>
              <w:t>系统运行环境：</w:t>
            </w:r>
            <w:r>
              <w:rPr>
                <w:rFonts w:ascii="宋体" w:hAnsi="宋体"/>
                <w:sz w:val="24"/>
              </w:rPr>
              <w:t>Linux</w:t>
            </w:r>
            <w:r>
              <w:rPr>
                <w:rFonts w:hint="eastAsia" w:ascii="宋体" w:hAnsi="宋体"/>
                <w:sz w:val="24"/>
              </w:rPr>
              <w:t>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3.11.2.2</w:t>
            </w:r>
            <w:r>
              <w:rPr>
                <w:rFonts w:hint="eastAsia" w:ascii="宋体" w:hAnsi="宋体"/>
                <w:sz w:val="24"/>
              </w:rPr>
              <w:t>数据库：国产数据库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3.11.2.3</w:t>
            </w:r>
            <w:r>
              <w:rPr>
                <w:rFonts w:hint="eastAsia" w:ascii="宋体" w:hAnsi="宋体"/>
                <w:sz w:val="24"/>
              </w:rPr>
              <w:t>开发语言：</w:t>
            </w:r>
            <w:r>
              <w:rPr>
                <w:rFonts w:ascii="宋体" w:hAnsi="宋体"/>
                <w:sz w:val="24"/>
              </w:rPr>
              <w:t>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3.11.2.4</w:t>
            </w:r>
            <w:r>
              <w:rPr>
                <w:rFonts w:hint="eastAsia" w:ascii="宋体" w:hAnsi="宋体"/>
                <w:sz w:val="24"/>
              </w:rPr>
              <w:t>编译工具：</w:t>
            </w:r>
            <w:r>
              <w:rPr>
                <w:rFonts w:ascii="宋体" w:hAnsi="宋体"/>
                <w:sz w:val="24"/>
              </w:rPr>
              <w:t>Eclipse</w:t>
            </w:r>
            <w:r>
              <w:rPr>
                <w:rFonts w:hint="eastAsia" w:ascii="宋体" w:hAnsi="宋体"/>
                <w:sz w:val="24"/>
              </w:rPr>
              <w:t>或</w:t>
            </w:r>
            <w:r>
              <w:rPr>
                <w:rFonts w:ascii="宋体" w:hAnsi="宋体"/>
                <w:sz w:val="24"/>
              </w:rPr>
              <w:t>IDEA</w:t>
            </w:r>
            <w:r>
              <w:rPr>
                <w:rFonts w:hint="eastAsia" w:ascii="宋体" w:hAnsi="宋体"/>
                <w:sz w:val="24"/>
              </w:rPr>
              <w:t>等主流工具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3.11.2.5</w:t>
            </w:r>
            <w:r>
              <w:rPr>
                <w:rFonts w:hint="eastAsia" w:ascii="宋体" w:hAnsi="宋体"/>
                <w:sz w:val="24"/>
              </w:rPr>
              <w:t>开发框架：</w:t>
            </w:r>
            <w:r>
              <w:rPr>
                <w:rFonts w:ascii="宋体" w:hAnsi="宋体"/>
                <w:sz w:val="24"/>
              </w:rPr>
              <w:t>Spring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3.11.2.6</w:t>
            </w:r>
            <w:r>
              <w:rPr>
                <w:rFonts w:hint="eastAsia" w:ascii="宋体" w:hAnsi="宋体"/>
                <w:sz w:val="24"/>
              </w:rPr>
              <w:t>开发环境：</w:t>
            </w:r>
            <w:r>
              <w:rPr>
                <w:rFonts w:ascii="宋体" w:hAnsi="宋体"/>
                <w:sz w:val="24"/>
              </w:rPr>
              <w:t>JDK1.8+</w:t>
            </w:r>
            <w:r>
              <w:rPr>
                <w:rFonts w:hint="eastAsia" w:ascii="宋体" w:hAnsi="宋体"/>
                <w:sz w:val="24"/>
              </w:rPr>
              <w:t>、</w:t>
            </w:r>
            <w:r>
              <w:rPr>
                <w:rFonts w:ascii="宋体" w:hAnsi="宋体"/>
                <w:sz w:val="24"/>
              </w:rPr>
              <w:t>Maven3.5</w:t>
            </w:r>
            <w:r>
              <w:rPr>
                <w:rFonts w:hint="eastAsia" w:ascii="宋体" w:hAnsi="宋体"/>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3.11.2.7</w:t>
            </w:r>
            <w:r>
              <w:rPr>
                <w:rFonts w:hint="eastAsia" w:ascii="宋体" w:hAnsi="宋体"/>
                <w:sz w:val="24"/>
              </w:rPr>
              <w:t>前端开发：</w:t>
            </w:r>
            <w:r>
              <w:rPr>
                <w:rFonts w:ascii="宋体" w:hAnsi="宋体"/>
                <w:sz w:val="24"/>
              </w:rPr>
              <w:t>VUE+</w:t>
            </w:r>
            <w:r>
              <w:rPr>
                <w:rFonts w:hint="eastAsia" w:ascii="宋体" w:hAnsi="宋体"/>
                <w:sz w:val="24"/>
              </w:rPr>
              <w:t>成熟前台框架</w:t>
            </w:r>
          </w:p>
        </w:tc>
      </w:tr>
    </w:tbl>
    <w:p>
      <w:pPr>
        <w:pStyle w:val="2"/>
      </w:pPr>
    </w:p>
    <w:p>
      <w:pPr>
        <w:spacing w:line="440" w:lineRule="exact"/>
        <w:ind w:firstLine="480" w:firstLineChars="200"/>
        <w:rPr>
          <w:sz w:val="24"/>
          <w:szCs w:val="21"/>
        </w:rPr>
      </w:pPr>
      <w:r>
        <w:rPr>
          <w:rFonts w:hint="eastAsia"/>
          <w:sz w:val="24"/>
          <w:szCs w:val="21"/>
        </w:rPr>
        <w:t>（三）商务和合同条款评审表</w:t>
      </w:r>
    </w:p>
    <w:tbl>
      <w:tblPr>
        <w:tblStyle w:val="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jc w:val="center"/>
              <w:rPr>
                <w:rFonts w:ascii="宋体" w:hAnsi="宋体"/>
                <w:sz w:val="24"/>
              </w:rPr>
            </w:pPr>
            <w:r>
              <w:rPr>
                <w:rFonts w:hint="eastAsia" w:ascii="宋体" w:hAnsi="宋体"/>
                <w:sz w:val="24"/>
              </w:rPr>
              <w:t>评审</w:t>
            </w:r>
            <w:r>
              <w:rPr>
                <w:rFonts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4.1</w:t>
            </w:r>
            <w:r>
              <w:rPr>
                <w:rFonts w:hint="eastAsia" w:ascii="宋体" w:hAnsi="宋体"/>
                <w:sz w:val="24"/>
              </w:rPr>
              <w:t>交货时间：合同签订后</w:t>
            </w:r>
            <w:r>
              <w:rPr>
                <w:rFonts w:ascii="宋体" w:hAnsi="宋体"/>
                <w:sz w:val="24"/>
              </w:rPr>
              <w:t>2</w:t>
            </w:r>
            <w:r>
              <w:rPr>
                <w:rFonts w:hint="eastAsia" w:ascii="宋体" w:hAnsi="宋体"/>
                <w:sz w:val="24"/>
              </w:rPr>
              <w:t>个月内完成所有工作。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4.2</w:t>
            </w:r>
            <w:r>
              <w:rPr>
                <w:rFonts w:hint="eastAsia" w:ascii="宋体" w:hAnsi="宋体"/>
                <w:sz w:val="24"/>
              </w:rPr>
              <w:t>交货安装地点：按合同约定。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4.3</w:t>
            </w:r>
            <w:r>
              <w:rPr>
                <w:rFonts w:hint="eastAsia" w:ascii="宋体" w:hAnsi="宋体"/>
                <w:sz w:val="24"/>
              </w:rPr>
              <w:t>付款方式（以合同签订内容为准）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4.3.1</w:t>
            </w:r>
            <w:r>
              <w:rPr>
                <w:rFonts w:hint="eastAsia" w:ascii="宋体" w:hAnsi="宋体"/>
                <w:sz w:val="24"/>
              </w:rPr>
              <w:t>合同签订后，支付项目总合同额的</w:t>
            </w:r>
            <w:r>
              <w:rPr>
                <w:rFonts w:ascii="宋体" w:hAnsi="宋体"/>
                <w:sz w:val="24"/>
              </w:rPr>
              <w:t>40%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4.3.2</w:t>
            </w:r>
            <w:r>
              <w:rPr>
                <w:rFonts w:hint="eastAsia" w:ascii="宋体" w:hAnsi="宋体"/>
                <w:sz w:val="24"/>
              </w:rPr>
              <w:t>项目上线正式运行后，支付项目总合同金额的</w:t>
            </w:r>
            <w:r>
              <w:rPr>
                <w:rFonts w:ascii="宋体" w:hAnsi="宋体"/>
                <w:sz w:val="24"/>
              </w:rPr>
              <w:t>60%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4.4</w:t>
            </w:r>
            <w:r>
              <w:rPr>
                <w:rFonts w:hint="eastAsia" w:ascii="宋体" w:hAnsi="宋体"/>
                <w:sz w:val="24"/>
              </w:rPr>
              <w:t>验收要求：合同签订后，采购方委托第三方监理公司对项目进行全程监管，由第三方监理公司出具验收申请后，由采购方组织进行验收。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4.5</w:t>
            </w:r>
            <w:r>
              <w:rPr>
                <w:rFonts w:hint="eastAsia" w:ascii="宋体" w:hAnsi="宋体"/>
                <w:sz w:val="24"/>
              </w:rPr>
              <w:t>质保服务要求：自项目验收合格之日起，提供一年免费运维服务。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4.6</w:t>
            </w:r>
            <w:r>
              <w:rPr>
                <w:rFonts w:hint="eastAsia" w:ascii="宋体" w:hAnsi="宋体"/>
                <w:sz w:val="24"/>
              </w:rPr>
              <w:t>提供售后服务方案；承诺故障响应时间小于</w:t>
            </w:r>
            <w:r>
              <w:rPr>
                <w:rFonts w:ascii="宋体" w:hAnsi="宋体"/>
                <w:sz w:val="24"/>
              </w:rPr>
              <w:t>15</w:t>
            </w:r>
            <w:r>
              <w:rPr>
                <w:rFonts w:hint="eastAsia" w:ascii="宋体" w:hAnsi="宋体"/>
                <w:sz w:val="24"/>
              </w:rPr>
              <w:t>分钟，一般故障</w:t>
            </w:r>
            <w:r>
              <w:rPr>
                <w:rFonts w:ascii="宋体" w:hAnsi="宋体"/>
                <w:sz w:val="24"/>
              </w:rPr>
              <w:t>2</w:t>
            </w:r>
            <w:r>
              <w:rPr>
                <w:rFonts w:hint="eastAsia" w:ascii="宋体" w:hAnsi="宋体"/>
                <w:sz w:val="24"/>
              </w:rPr>
              <w:t>小时内解决，重大故障应在</w:t>
            </w:r>
            <w:r>
              <w:rPr>
                <w:rFonts w:ascii="宋体" w:hAnsi="宋体"/>
                <w:sz w:val="24"/>
              </w:rPr>
              <w:t>12</w:t>
            </w:r>
            <w:r>
              <w:rPr>
                <w:rFonts w:hint="eastAsia" w:ascii="宋体" w:hAnsi="宋体"/>
                <w:sz w:val="24"/>
              </w:rPr>
              <w:t>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4.7合同签订后，成交供应商需要提供专人驻场服务直至质保服务期结束。服务期间驻场服务人员不能少于1人。</w:t>
            </w:r>
            <w:r>
              <w:rPr>
                <w:rFonts w:ascii="宋体" w:hAnsi="宋体"/>
                <w:sz w:val="24"/>
              </w:rPr>
              <w:br w:type="textWrapping"/>
            </w:r>
            <w:r>
              <w:rPr>
                <w:rFonts w:ascii="宋体" w:hAnsi="宋体"/>
                <w:sz w:val="24"/>
              </w:rPr>
              <w:t>4.8网站上线后，设置1-2人对公共服务平台软硬件提供运维保障服务（可远程），包括但不限于1、程序、设备日常管理；2、数据、储存、容灾管理；3、平台日常巡检；4、信息安全管理等。巡检过程中发现故障及时向主管部门报告，并根据故障原因立即做出响应，及时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4.9</w:t>
            </w:r>
            <w:r>
              <w:rPr>
                <w:rFonts w:hint="eastAsia" w:ascii="宋体" w:hAnsi="宋体"/>
                <w:sz w:val="24"/>
              </w:rPr>
              <w:t>配合省知识产权局完成数据资源共享工作。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4.10</w:t>
            </w:r>
            <w:r>
              <w:rPr>
                <w:rFonts w:hint="eastAsia" w:ascii="宋体" w:hAnsi="宋体"/>
                <w:sz w:val="24"/>
              </w:rPr>
              <w:t>配合省知识产权局完成系统等级保护。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40" w:lineRule="exact"/>
              <w:rPr>
                <w:rFonts w:ascii="宋体" w:hAnsi="宋体"/>
                <w:sz w:val="24"/>
              </w:rPr>
            </w:pPr>
            <w:r>
              <w:rPr>
                <w:rFonts w:ascii="宋体" w:hAnsi="宋体"/>
                <w:sz w:val="24"/>
              </w:rPr>
              <w:t>4.11</w:t>
            </w:r>
            <w:r>
              <w:rPr>
                <w:rFonts w:hint="eastAsia" w:ascii="宋体" w:hAnsi="宋体"/>
                <w:sz w:val="24"/>
              </w:rPr>
              <w:t>培训：提供培训方案，涵盖培训方式、培训组织机构、培训内容、培训大纲、培训计划、培训对象等内容；培训次数不得少于</w:t>
            </w:r>
            <w:r>
              <w:rPr>
                <w:rFonts w:ascii="宋体" w:hAnsi="宋体"/>
                <w:sz w:val="24"/>
              </w:rPr>
              <w:t>2</w:t>
            </w:r>
            <w:r>
              <w:rPr>
                <w:rFonts w:hint="eastAsia" w:ascii="宋体" w:hAnsi="宋体"/>
                <w:sz w:val="24"/>
              </w:rPr>
              <w:t>次。</w:t>
            </w:r>
            <w:r>
              <w:rPr>
                <w:rFonts w:ascii="宋体" w:hAnsi="宋体"/>
                <w:sz w:val="24"/>
              </w:rPr>
              <w:t xml:space="preserve"> </w:t>
            </w:r>
          </w:p>
        </w:tc>
      </w:tr>
    </w:tbl>
    <w:p>
      <w:pPr>
        <w:spacing w:line="440" w:lineRule="exact"/>
        <w:rPr>
          <w:sz w:val="24"/>
          <w:szCs w:val="21"/>
        </w:rPr>
      </w:pPr>
    </w:p>
    <w:p>
      <w:pPr>
        <w:tabs>
          <w:tab w:val="left" w:pos="7665"/>
        </w:tabs>
        <w:ind w:firstLine="705" w:firstLineChars="196"/>
        <w:jc w:val="center"/>
        <w:outlineLvl w:val="1"/>
        <w:rPr>
          <w:sz w:val="36"/>
          <w:szCs w:val="36"/>
        </w:rPr>
      </w:pPr>
    </w:p>
    <w:p>
      <w:pPr>
        <w:tabs>
          <w:tab w:val="left" w:pos="7665"/>
        </w:tabs>
        <w:ind w:firstLine="705" w:firstLineChars="196"/>
        <w:jc w:val="center"/>
        <w:outlineLvl w:val="1"/>
        <w:rPr>
          <w:sz w:val="36"/>
          <w:szCs w:val="36"/>
        </w:rPr>
      </w:pPr>
    </w:p>
    <w:p>
      <w:pPr>
        <w:tabs>
          <w:tab w:val="left" w:pos="7665"/>
        </w:tabs>
        <w:ind w:firstLine="705" w:firstLineChars="196"/>
        <w:jc w:val="center"/>
        <w:outlineLvl w:val="1"/>
        <w:rPr>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7665"/>
        </w:tabs>
        <w:ind w:firstLine="705" w:firstLineChars="196"/>
        <w:jc w:val="center"/>
        <w:outlineLvl w:val="1"/>
        <w:rPr>
          <w:rFonts w:eastAsia="仿宋_GB2312"/>
          <w:sz w:val="44"/>
          <w:szCs w:val="44"/>
        </w:rPr>
      </w:pPr>
      <w:r>
        <w:rPr>
          <w:sz w:val="36"/>
          <w:szCs w:val="36"/>
        </w:rPr>
        <w:t>第</w:t>
      </w:r>
      <w:r>
        <w:rPr>
          <w:rFonts w:hint="eastAsia"/>
          <w:sz w:val="36"/>
          <w:szCs w:val="36"/>
        </w:rPr>
        <w:t>五</w:t>
      </w:r>
      <w:r>
        <w:rPr>
          <w:sz w:val="36"/>
          <w:szCs w:val="36"/>
        </w:rPr>
        <w:t>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w:t>
      </w:r>
      <w:r>
        <w:rPr>
          <w:rFonts w:hint="eastAsia"/>
          <w:sz w:val="24"/>
        </w:rPr>
        <w:t>中华人民共和国民法典</w:t>
      </w:r>
      <w:r>
        <w:rPr>
          <w:sz w:val="24"/>
        </w:rPr>
        <w:t>》</w:t>
      </w:r>
      <w:r>
        <w:rPr>
          <w:rFonts w:hint="eastAsia"/>
          <w:sz w:val="24"/>
        </w:rPr>
        <w:t>相关条款，</w:t>
      </w:r>
      <w:r>
        <w:rPr>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w:t>
      </w:r>
      <w:r>
        <w:rPr>
          <w:sz w:val="24"/>
        </w:rPr>
        <w:t>《</w:t>
      </w:r>
      <w:r>
        <w:rPr>
          <w:rFonts w:hint="eastAsia"/>
          <w:sz w:val="24"/>
        </w:rPr>
        <w:t>中华人民共和国民法典</w:t>
      </w:r>
      <w:r>
        <w:rPr>
          <w:sz w:val="24"/>
        </w:rPr>
        <w:t>》</w:t>
      </w:r>
      <w:r>
        <w:rPr>
          <w:kern w:val="0"/>
          <w:sz w:val="24"/>
          <w:szCs w:val="20"/>
        </w:rPr>
        <w:t>《中华人民共和国政府采购法》</w:t>
      </w:r>
      <w:r>
        <w:rPr>
          <w:rFonts w:hint="eastAsia"/>
          <w:sz w:val="24"/>
        </w:rPr>
        <w:t>相关条款</w:t>
      </w:r>
      <w:r>
        <w:rPr>
          <w:kern w:val="0"/>
          <w:sz w:val="24"/>
          <w:szCs w:val="20"/>
        </w:rPr>
        <w:t>，并各自履行应负的全部责任和义务。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 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widowControl/>
        <w:jc w:val="left"/>
        <w:rPr>
          <w:sz w:val="36"/>
          <w:szCs w:val="36"/>
        </w:rPr>
      </w:pPr>
    </w:p>
    <w:p>
      <w:pPr>
        <w:adjustRightInd w:val="0"/>
        <w:snapToGrid w:val="0"/>
        <w:jc w:val="center"/>
        <w:outlineLvl w:val="0"/>
        <w:rPr>
          <w:b/>
          <w:sz w:val="36"/>
          <w:szCs w:val="36"/>
        </w:rPr>
      </w:pPr>
      <w:r>
        <w:rPr>
          <w:b/>
          <w:sz w:val="36"/>
          <w:szCs w:val="36"/>
        </w:rPr>
        <w:t>第</w:t>
      </w:r>
      <w:r>
        <w:rPr>
          <w:rFonts w:hint="eastAsia"/>
          <w:b/>
          <w:sz w:val="36"/>
          <w:szCs w:val="36"/>
        </w:rPr>
        <w:t>六</w:t>
      </w:r>
      <w:r>
        <w:rPr>
          <w:b/>
          <w:sz w:val="36"/>
          <w:szCs w:val="36"/>
        </w:rPr>
        <w:t>章</w:t>
      </w:r>
      <w:r>
        <w:rPr>
          <w:rFonts w:hint="eastAsia"/>
          <w:b/>
          <w:sz w:val="36"/>
          <w:szCs w:val="36"/>
        </w:rPr>
        <w:t xml:space="preserve">  </w:t>
      </w:r>
      <w:r>
        <w:rPr>
          <w:b/>
          <w:sz w:val="36"/>
          <w:szCs w:val="36"/>
        </w:rPr>
        <w:t>响应文件</w:t>
      </w:r>
      <w:r>
        <w:rPr>
          <w:rFonts w:hint="eastAsia"/>
          <w:b/>
          <w:sz w:val="36"/>
          <w:szCs w:val="36"/>
        </w:rPr>
        <w:t>（</w:t>
      </w:r>
      <w:r>
        <w:rPr>
          <w:b/>
          <w:sz w:val="36"/>
          <w:szCs w:val="36"/>
        </w:rPr>
        <w:t>格式</w:t>
      </w:r>
      <w:r>
        <w:rPr>
          <w:rFonts w:hint="eastAsia"/>
          <w:b/>
          <w:sz w:val="36"/>
          <w:szCs w:val="36"/>
        </w:rPr>
        <w:t>）</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
          <w:bCs/>
          <w:spacing w:val="100"/>
          <w:w w:val="110"/>
          <w:kern w:val="0"/>
          <w:sz w:val="36"/>
          <w:szCs w:val="36"/>
        </w:rPr>
      </w:pPr>
    </w:p>
    <w:p>
      <w:pPr>
        <w:pStyle w:val="18"/>
        <w:tabs>
          <w:tab w:val="left" w:pos="1260"/>
        </w:tabs>
        <w:jc w:val="center"/>
        <w:rPr>
          <w:rFonts w:ascii="Times New Roman" w:hAnsi="Times New Roman" w:cs="Times New Roman"/>
          <w:bCs/>
          <w:spacing w:val="100"/>
          <w:w w:val="110"/>
          <w:kern w:val="0"/>
          <w:sz w:val="36"/>
          <w:szCs w:val="36"/>
        </w:rPr>
      </w:pPr>
      <w:r>
        <w:rPr>
          <w:rFonts w:ascii="Times New Roman" w:hAnsi="Times New Roman" w:cs="Times New Roman"/>
          <w:bCs/>
          <w:spacing w:val="100"/>
          <w:w w:val="110"/>
          <w:kern w:val="0"/>
          <w:sz w:val="36"/>
          <w:szCs w:val="36"/>
        </w:rPr>
        <w:t>湖北省省级政府采购</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spacing w:line="480" w:lineRule="auto"/>
        <w:ind w:firstLine="960" w:firstLineChars="300"/>
        <w:rPr>
          <w:bCs/>
          <w:sz w:val="32"/>
          <w:szCs w:val="32"/>
        </w:rPr>
      </w:pPr>
      <w:r>
        <w:rPr>
          <w:bCs/>
          <w:sz w:val="32"/>
          <w:szCs w:val="32"/>
        </w:rPr>
        <w:t>项目编号：</w:t>
      </w:r>
      <w:r>
        <w:rPr>
          <w:rFonts w:hint="eastAsia"/>
          <w:bCs/>
          <w:sz w:val="32"/>
          <w:szCs w:val="32"/>
        </w:rPr>
        <w:t>EZC-2022-ZX00</w:t>
      </w:r>
      <w:r>
        <w:rPr>
          <w:bCs/>
          <w:sz w:val="32"/>
          <w:szCs w:val="32"/>
        </w:rPr>
        <w:t>XX</w:t>
      </w:r>
    </w:p>
    <w:p>
      <w:pPr>
        <w:spacing w:line="480" w:lineRule="auto"/>
        <w:ind w:left="2558" w:leftChars="342" w:hanging="1600" w:hangingChars="500"/>
        <w:rPr>
          <w:bCs/>
          <w:sz w:val="32"/>
          <w:szCs w:val="32"/>
        </w:rPr>
      </w:pPr>
      <w:r>
        <w:rPr>
          <w:bCs/>
          <w:sz w:val="32"/>
          <w:szCs w:val="32"/>
        </w:rPr>
        <w:t>项目名称：</w:t>
      </w:r>
      <w:r>
        <w:rPr>
          <w:rFonts w:hint="eastAsia"/>
          <w:bCs/>
          <w:sz w:val="32"/>
          <w:szCs w:val="32"/>
        </w:rPr>
        <w:t>X</w:t>
      </w:r>
      <w:r>
        <w:rPr>
          <w:bCs/>
          <w:sz w:val="32"/>
          <w:szCs w:val="32"/>
        </w:rPr>
        <w:t>XXXXXXXXXXXXXXX</w:t>
      </w:r>
      <w:r>
        <w:rPr>
          <w:rFonts w:hint="eastAsia"/>
          <w:bCs/>
          <w:sz w:val="32"/>
          <w:szCs w:val="32"/>
        </w:rPr>
        <w:t>项目</w:t>
      </w:r>
    </w:p>
    <w:p>
      <w:pPr>
        <w:pStyle w:val="18"/>
        <w:spacing w:line="360" w:lineRule="auto"/>
        <w:ind w:left="2558" w:leftChars="342" w:hanging="1600" w:hangingChars="500"/>
        <w:rPr>
          <w:rFonts w:ascii="Times New Roman" w:hAnsi="Times New Roman" w:cs="Times New Roman"/>
          <w:sz w:val="32"/>
          <w:szCs w:val="32"/>
          <w:u w:val="single"/>
        </w:rPr>
      </w:pPr>
      <w:r>
        <w:rPr>
          <w:rFonts w:hint="eastAsia"/>
          <w:bCs/>
          <w:sz w:val="32"/>
          <w:szCs w:val="32"/>
        </w:rPr>
        <w:t>谈判</w:t>
      </w:r>
      <w:r>
        <w:rPr>
          <w:bCs/>
          <w:sz w:val="32"/>
          <w:szCs w:val="32"/>
        </w:rPr>
        <w:t>内容：</w:t>
      </w:r>
      <w:r>
        <w:rPr>
          <w:rFonts w:hint="eastAsia" w:ascii="Times New Roman" w:hAnsi="Times New Roman" w:cs="Times New Roman"/>
          <w:bCs/>
          <w:sz w:val="32"/>
          <w:szCs w:val="32"/>
        </w:rPr>
        <w:t>X</w:t>
      </w:r>
      <w:r>
        <w:rPr>
          <w:rFonts w:ascii="Times New Roman" w:hAnsi="Times New Roman" w:cs="Times New Roman"/>
          <w:bCs/>
          <w:sz w:val="32"/>
          <w:szCs w:val="32"/>
        </w:rPr>
        <w:t>XXXXXXXXXXXXXXX</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sz w:val="44"/>
          <w:szCs w:val="44"/>
        </w:rPr>
      </w:pPr>
      <w:r>
        <w:rPr>
          <w:szCs w:val="21"/>
        </w:rPr>
        <w:br w:type="page"/>
      </w:r>
      <w:r>
        <w:rPr>
          <w:rFonts w:eastAsiaTheme="minorEastAsia"/>
          <w:sz w:val="44"/>
          <w:szCs w:val="44"/>
        </w:rPr>
        <w:t>目</w:t>
      </w:r>
      <w:r>
        <w:rPr>
          <w:rFonts w:hint="eastAsia" w:eastAsiaTheme="minorEastAsia"/>
          <w:sz w:val="44"/>
          <w:szCs w:val="44"/>
        </w:rPr>
        <w:t xml:space="preserve">  </w:t>
      </w:r>
      <w:r>
        <w:rPr>
          <w:rFonts w:eastAsiaTheme="minorEastAsia"/>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w:t>
      </w:r>
      <w:r>
        <w:rPr>
          <w:rFonts w:hint="eastAsia"/>
          <w:sz w:val="32"/>
          <w:szCs w:val="32"/>
        </w:rPr>
        <w:t xml:space="preserve">  </w:t>
      </w:r>
      <w:r>
        <w:rPr>
          <w:sz w:val="32"/>
          <w:szCs w:val="32"/>
        </w:rPr>
        <w:t>判</w:t>
      </w:r>
      <w:r>
        <w:rPr>
          <w:rFonts w:hint="eastAsia"/>
          <w:sz w:val="32"/>
          <w:szCs w:val="32"/>
        </w:rPr>
        <w:t xml:space="preserve">  </w:t>
      </w:r>
      <w:r>
        <w:rPr>
          <w:sz w:val="32"/>
          <w:szCs w:val="32"/>
        </w:rPr>
        <w:t>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集中采购机构名称</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项目的谈判邀请，</w:t>
      </w:r>
      <w:r>
        <w:rPr>
          <w:rFonts w:hint="eastAsia" w:ascii="Times New Roman" w:hAnsi="Times New Roman" w:cs="Times New Roman"/>
          <w:sz w:val="24"/>
        </w:rPr>
        <w:t>我方</w:t>
      </w:r>
      <w:r>
        <w:rPr>
          <w:rFonts w:ascii="Times New Roman" w:hAnsi="Times New Roman" w:cs="Times New Roman"/>
          <w:sz w:val="24"/>
          <w:u w:val="single"/>
        </w:rPr>
        <w:t>签字代表</w:t>
      </w:r>
      <w:r>
        <w:rPr>
          <w:rFonts w:ascii="Times New Roman" w:hAnsi="Times New Roman" w:cs="Times New Roman"/>
          <w:sz w:val="24"/>
        </w:rPr>
        <w:t>（姓名和职务）经正式授权并代表</w:t>
      </w:r>
      <w:r>
        <w:rPr>
          <w:rFonts w:ascii="Times New Roman" w:hAnsi="Times New Roman" w:cs="Times New Roman"/>
          <w:sz w:val="24"/>
          <w:u w:val="single"/>
        </w:rPr>
        <w:t>（供应商名称、地址）</w:t>
      </w:r>
      <w:r>
        <w:rPr>
          <w:rFonts w:ascii="Times New Roman" w:hAnsi="Times New Roman" w:cs="Times New Roman"/>
          <w:sz w:val="24"/>
        </w:rPr>
        <w:t>提交</w:t>
      </w:r>
      <w:r>
        <w:rPr>
          <w:rFonts w:hint="eastAsia" w:ascii="Times New Roman" w:hAnsi="Times New Roman" w:cs="Times New Roman"/>
          <w:sz w:val="24"/>
        </w:rPr>
        <w:t>以下资料</w:t>
      </w:r>
      <w:r>
        <w:rPr>
          <w:rFonts w:hint="eastAsia"/>
          <w:kern w:val="0"/>
          <w:sz w:val="24"/>
        </w:rPr>
        <w:t>，承诺对资料的真实性和准确性负责，并承担相应责任</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4.资格性检查和符合性检查对照表(附件4)；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5.技术服务响应、偏离情况说明表(附件5)；</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6.商务和合同条款响应、偏离情况说明表(附件6)；</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9.符合国家相关规定的财务状况报告书面承诺书，依法缴纳税收和社会保障资金的书面承诺书(附件9)；</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10.具备履行合同所必需的设备和专业技术能力的书面承诺书 (附件10)；</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11.参加政府采购活动前3年内在经营活动中没有重大违法记录的书面声明(附件11)；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12.</w:t>
      </w:r>
      <w:r>
        <w:rPr>
          <w:rFonts w:hint="eastAsia" w:ascii="Times New Roman" w:hAnsi="Times New Roman" w:cs="宋体"/>
          <w:kern w:val="0"/>
          <w:sz w:val="24"/>
          <w:szCs w:val="24"/>
        </w:rPr>
        <w:t xml:space="preserve"> </w:t>
      </w:r>
      <w:r>
        <w:rPr>
          <w:rFonts w:hint="eastAsia" w:ascii="Times New Roman" w:hAnsi="Times New Roman" w:cs="Times New Roman"/>
          <w:sz w:val="24"/>
        </w:rPr>
        <w:t>未被列入“信用中国”网站（www.creditchina.gov.cn）失信被执行人和重大税收违法案件当事人名单以及“中国政府采购网”(www.ccgp.gov.cn)的政府采购严重违法失信行为记录名单</w:t>
      </w:r>
      <w:r>
        <w:rPr>
          <w:bCs/>
          <w:sz w:val="24"/>
          <w:lang w:bidi="ar-EG"/>
        </w:rPr>
        <w:t>的</w:t>
      </w:r>
      <w:r>
        <w:rPr>
          <w:rFonts w:hint="eastAsia"/>
          <w:bCs/>
          <w:sz w:val="24"/>
          <w:lang w:bidi="ar-EG"/>
        </w:rPr>
        <w:t>书面声明</w:t>
      </w:r>
      <w:r>
        <w:rPr>
          <w:rFonts w:hint="eastAsia" w:ascii="Times New Roman" w:hAnsi="Times New Roman" w:cs="Times New Roman"/>
          <w:sz w:val="24"/>
        </w:rPr>
        <w:t>(附件12)；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13.《中小企业声明函》(附件13)；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14.《残疾人福利性单位声明函》(附件14)；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15.属于监狱企业的证明文件等（如果有的话）(附件</w:t>
      </w:r>
      <w:r>
        <w:rPr>
          <w:rFonts w:hint="eastAsia"/>
          <w:kern w:val="0"/>
          <w:sz w:val="24"/>
        </w:rPr>
        <w:t>15</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16.采购文件要求提供的其他资格证明文件及资料</w:t>
      </w:r>
      <w:r>
        <w:rPr>
          <w:rFonts w:ascii="Times New Roman" w:hAnsi="Times New Roman" w:cs="Times New Roman"/>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将按响应文件的</w:t>
      </w:r>
      <w:r>
        <w:rPr>
          <w:rFonts w:hint="eastAsia" w:ascii="Times New Roman" w:hAnsi="Times New Roman" w:cs="Times New Roman"/>
          <w:sz w:val="24"/>
        </w:rPr>
        <w:t>承诺</w:t>
      </w:r>
      <w:r>
        <w:rPr>
          <w:rFonts w:ascii="Times New Roman" w:hAnsi="Times New Roman" w:cs="Times New Roman"/>
          <w:sz w:val="24"/>
        </w:rPr>
        <w:t>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kern w:val="0"/>
          <w:sz w:val="24"/>
        </w:rPr>
        <w:t>法人</w:t>
      </w:r>
      <w:r>
        <w:rPr>
          <w:rFonts w:hint="eastAsia"/>
          <w:kern w:val="0"/>
          <w:sz w:val="24"/>
        </w:rPr>
        <w:t>（负责人）</w:t>
      </w:r>
      <w:r>
        <w:rPr>
          <w:kern w:val="0"/>
          <w:sz w:val="24"/>
        </w:rPr>
        <w:t>代表</w:t>
      </w:r>
      <w:r>
        <w:rPr>
          <w:rFonts w:hint="eastAsia"/>
          <w:kern w:val="0"/>
          <w:sz w:val="24"/>
        </w:rPr>
        <w:t>（签章）</w:t>
      </w:r>
      <w:r>
        <w:rPr>
          <w:kern w:val="0"/>
          <w:sz w:val="24"/>
        </w:rPr>
        <w:t>：</w:t>
      </w:r>
    </w:p>
    <w:p>
      <w:pPr>
        <w:pStyle w:val="18"/>
        <w:spacing w:line="440" w:lineRule="exact"/>
        <w:ind w:firstLine="840"/>
        <w:rPr>
          <w:rFonts w:ascii="Times New Roman" w:hAnsi="Times New Roman" w:cs="Times New Roman"/>
          <w:sz w:val="24"/>
        </w:rPr>
      </w:pPr>
      <w:r>
        <w:rPr>
          <w:rFonts w:ascii="Times New Roman" w:hAnsi="Times New Roman" w:cs="Times New Roman"/>
          <w:sz w:val="24"/>
        </w:rPr>
        <w:t>供应商名称（公章）：</w:t>
      </w:r>
    </w:p>
    <w:p>
      <w:pPr>
        <w:pStyle w:val="18"/>
        <w:spacing w:line="440" w:lineRule="exact"/>
        <w:ind w:firstLine="840"/>
        <w:rPr>
          <w:rFonts w:asciiTheme="majorEastAsia" w:hAnsiTheme="majorEastAsia" w:eastAsiaTheme="majorEastAsia"/>
          <w:sz w:val="24"/>
        </w:rPr>
      </w:pPr>
      <w:r>
        <w:rPr>
          <w:rFonts w:ascii="Times New Roman" w:hAnsi="Times New Roman" w:cs="Times New Roman"/>
          <w:sz w:val="24"/>
        </w:rPr>
        <w:t>日期：</w:t>
      </w:r>
      <w:r>
        <w:rPr>
          <w:rFonts w:ascii="Times New Roman" w:hAnsi="Times New Roman" w:cs="Times New Roman"/>
          <w:sz w:val="24"/>
        </w:rPr>
        <w:br w:type="page"/>
      </w:r>
      <w:r>
        <w:rPr>
          <w:rFonts w:asciiTheme="majorEastAsia" w:hAnsiTheme="majorEastAsia" w:eastAsiaTheme="majorEastAsia"/>
          <w:sz w:val="24"/>
        </w:rPr>
        <w:t>附件2</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27"/>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12"/>
        <w:gridCol w:w="1656"/>
        <w:gridCol w:w="737"/>
        <w:gridCol w:w="1093"/>
        <w:gridCol w:w="181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354" w:type="pct"/>
            <w:vAlign w:val="center"/>
          </w:tcPr>
          <w:p>
            <w:pPr>
              <w:adjustRightInd w:val="0"/>
              <w:snapToGrid w:val="0"/>
              <w:ind w:left="-118" w:leftChars="-42"/>
              <w:jc w:val="center"/>
              <w:rPr>
                <w:sz w:val="21"/>
                <w:szCs w:val="21"/>
              </w:rPr>
            </w:pPr>
            <w:r>
              <w:rPr>
                <w:sz w:val="21"/>
                <w:szCs w:val="21"/>
              </w:rPr>
              <w:t>序号</w:t>
            </w:r>
          </w:p>
        </w:tc>
        <w:tc>
          <w:tcPr>
            <w:tcW w:w="794" w:type="pct"/>
            <w:vAlign w:val="center"/>
          </w:tcPr>
          <w:p>
            <w:pPr>
              <w:adjustRightInd w:val="0"/>
              <w:snapToGrid w:val="0"/>
              <w:ind w:left="-118" w:leftChars="-42"/>
              <w:jc w:val="center"/>
              <w:rPr>
                <w:sz w:val="21"/>
                <w:szCs w:val="21"/>
              </w:rPr>
            </w:pPr>
            <w:r>
              <w:rPr>
                <w:rFonts w:hint="eastAsia"/>
                <w:sz w:val="21"/>
                <w:szCs w:val="21"/>
              </w:rPr>
              <w:t>货物（服务）名称</w:t>
            </w:r>
          </w:p>
        </w:tc>
        <w:tc>
          <w:tcPr>
            <w:tcW w:w="1002" w:type="pct"/>
            <w:vAlign w:val="center"/>
          </w:tcPr>
          <w:p>
            <w:pPr>
              <w:jc w:val="center"/>
              <w:rPr>
                <w:sz w:val="21"/>
                <w:szCs w:val="21"/>
              </w:rPr>
            </w:pPr>
            <w:r>
              <w:rPr>
                <w:rFonts w:hint="eastAsia"/>
                <w:sz w:val="21"/>
                <w:szCs w:val="21"/>
              </w:rPr>
              <w:t>制造商名称（全称）</w:t>
            </w:r>
          </w:p>
        </w:tc>
        <w:tc>
          <w:tcPr>
            <w:tcW w:w="446" w:type="pct"/>
            <w:vAlign w:val="center"/>
          </w:tcPr>
          <w:p>
            <w:pPr>
              <w:adjustRightInd w:val="0"/>
              <w:snapToGrid w:val="0"/>
              <w:jc w:val="center"/>
              <w:rPr>
                <w:sz w:val="21"/>
                <w:szCs w:val="21"/>
              </w:rPr>
            </w:pPr>
            <w:r>
              <w:rPr>
                <w:sz w:val="21"/>
                <w:szCs w:val="21"/>
              </w:rPr>
              <w:t>规格型号</w:t>
            </w:r>
          </w:p>
        </w:tc>
        <w:tc>
          <w:tcPr>
            <w:tcW w:w="661" w:type="pct"/>
            <w:vAlign w:val="center"/>
          </w:tcPr>
          <w:p>
            <w:pPr>
              <w:jc w:val="center"/>
              <w:rPr>
                <w:sz w:val="21"/>
                <w:szCs w:val="21"/>
              </w:rPr>
            </w:pPr>
            <w:r>
              <w:rPr>
                <w:sz w:val="21"/>
                <w:szCs w:val="21"/>
              </w:rPr>
              <w:t>数量</w:t>
            </w:r>
          </w:p>
          <w:p>
            <w:pPr>
              <w:adjustRightInd w:val="0"/>
              <w:snapToGrid w:val="0"/>
              <w:rPr>
                <w:sz w:val="21"/>
                <w:szCs w:val="21"/>
              </w:rPr>
            </w:pPr>
            <w:r>
              <w:rPr>
                <w:rFonts w:hint="eastAsia"/>
                <w:sz w:val="21"/>
                <w:szCs w:val="21"/>
              </w:rPr>
              <w:t>（台/个）</w:t>
            </w:r>
          </w:p>
        </w:tc>
        <w:tc>
          <w:tcPr>
            <w:tcW w:w="1098" w:type="pct"/>
            <w:vAlign w:val="center"/>
          </w:tcPr>
          <w:p>
            <w:pPr>
              <w:adjustRightInd w:val="0"/>
              <w:snapToGrid w:val="0"/>
              <w:jc w:val="center"/>
              <w:rPr>
                <w:sz w:val="21"/>
                <w:szCs w:val="21"/>
              </w:rPr>
            </w:pPr>
            <w:r>
              <w:rPr>
                <w:sz w:val="21"/>
                <w:szCs w:val="21"/>
              </w:rPr>
              <w:t>单价</w:t>
            </w:r>
            <w:r>
              <w:rPr>
                <w:rFonts w:hint="eastAsia"/>
                <w:sz w:val="21"/>
                <w:szCs w:val="21"/>
              </w:rPr>
              <w:t>（元）</w:t>
            </w:r>
          </w:p>
        </w:tc>
        <w:tc>
          <w:tcPr>
            <w:tcW w:w="645" w:type="pct"/>
            <w:vAlign w:val="center"/>
          </w:tcPr>
          <w:p>
            <w:pPr>
              <w:adjustRightInd w:val="0"/>
              <w:snapToGrid w:val="0"/>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1</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2</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3</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4</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5</w:t>
            </w:r>
          </w:p>
        </w:tc>
        <w:tc>
          <w:tcPr>
            <w:tcW w:w="794" w:type="pct"/>
            <w:vAlign w:val="center"/>
          </w:tcPr>
          <w:p>
            <w:pPr>
              <w:adjustRightInd w:val="0"/>
              <w:snapToGrid w:val="0"/>
              <w:ind w:left="-118" w:leftChars="-42"/>
              <w:jc w:val="center"/>
              <w:rPr>
                <w:sz w:val="21"/>
                <w:szCs w:val="21"/>
              </w:rPr>
            </w:pPr>
            <w:r>
              <w:rPr>
                <w:sz w:val="21"/>
                <w:szCs w:val="21"/>
              </w:rPr>
              <w:t>…</w:t>
            </w: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6</w:t>
            </w:r>
          </w:p>
        </w:tc>
        <w:tc>
          <w:tcPr>
            <w:tcW w:w="794" w:type="pct"/>
            <w:vAlign w:val="center"/>
          </w:tcPr>
          <w:p>
            <w:pPr>
              <w:adjustRightInd w:val="0"/>
              <w:snapToGrid w:val="0"/>
              <w:ind w:left="-118" w:leftChars="-42"/>
              <w:jc w:val="center"/>
              <w:rPr>
                <w:sz w:val="21"/>
                <w:szCs w:val="21"/>
              </w:rPr>
            </w:pPr>
            <w:r>
              <w:rPr>
                <w:sz w:val="21"/>
                <w:szCs w:val="21"/>
              </w:rPr>
              <w:t>其它</w:t>
            </w: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48" w:type="pct"/>
            <w:gridSpan w:val="2"/>
            <w:vAlign w:val="center"/>
          </w:tcPr>
          <w:p>
            <w:pPr>
              <w:adjustRightInd w:val="0"/>
              <w:snapToGrid w:val="0"/>
              <w:jc w:val="center"/>
              <w:rPr>
                <w:sz w:val="21"/>
                <w:szCs w:val="21"/>
              </w:rPr>
            </w:pPr>
            <w:r>
              <w:rPr>
                <w:sz w:val="21"/>
                <w:szCs w:val="21"/>
              </w:rPr>
              <w:t>总计</w:t>
            </w:r>
          </w:p>
        </w:tc>
        <w:tc>
          <w:tcPr>
            <w:tcW w:w="3852" w:type="pct"/>
            <w:gridSpan w:val="5"/>
            <w:vAlign w:val="center"/>
          </w:tcPr>
          <w:p>
            <w:pPr>
              <w:adjustRightInd w:val="0"/>
              <w:snapToGrid w:val="0"/>
              <w:jc w:val="center"/>
              <w:rPr>
                <w:sz w:val="21"/>
                <w:szCs w:val="21"/>
              </w:rPr>
            </w:pPr>
            <w:r>
              <w:rPr>
                <w:rFonts w:hint="eastAsia"/>
                <w:sz w:val="21"/>
                <w:szCs w:val="21"/>
              </w:rPr>
              <w:t>（人民币，大写）</w:t>
            </w:r>
          </w:p>
        </w:tc>
      </w:tr>
    </w:tbl>
    <w:p>
      <w:pPr>
        <w:spacing w:line="240" w:lineRule="atLeast"/>
        <w:ind w:firstLine="360" w:firstLineChars="150"/>
      </w:pPr>
      <w:r>
        <w:rPr>
          <w:sz w:val="24"/>
        </w:rPr>
        <w:t>注：本表仅作为谈判小组了解报价组成情况，不作为</w:t>
      </w:r>
      <w:r>
        <w:rPr>
          <w:rFonts w:hint="eastAsia"/>
          <w:sz w:val="24"/>
        </w:rPr>
        <w:t>最后</w:t>
      </w:r>
      <w:r>
        <w:rPr>
          <w:sz w:val="24"/>
        </w:rPr>
        <w:t>报价。</w:t>
      </w:r>
    </w:p>
    <w:p>
      <w:pPr>
        <w:pStyle w:val="18"/>
        <w:spacing w:line="500" w:lineRule="exact"/>
        <w:rPr>
          <w:rFonts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spacing w:line="480" w:lineRule="auto"/>
      </w:pPr>
      <w:r>
        <w:rPr>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spacing w:line="480" w:lineRule="auto"/>
        <w:jc w:val="center"/>
        <w:rPr>
          <w:rFonts w:eastAsia="仿宋_GB2312"/>
        </w:rPr>
      </w:pPr>
    </w:p>
    <w:p>
      <w:pPr>
        <w:rPr>
          <w:bCs/>
          <w:sz w:val="24"/>
        </w:rPr>
      </w:pPr>
      <w:r>
        <w:rPr>
          <w:bCs/>
          <w:sz w:val="24"/>
        </w:rPr>
        <w:br w:type="page"/>
      </w:r>
      <w:r>
        <w:rPr>
          <w:bCs/>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jc w:val="center"/>
        </w:trPr>
        <w:tc>
          <w:tcPr>
            <w:tcW w:w="521" w:type="dxa"/>
            <w:vAlign w:val="center"/>
          </w:tcPr>
          <w:p>
            <w:pPr>
              <w:adjustRightInd w:val="0"/>
              <w:snapToGrid w:val="0"/>
              <w:ind w:left="-118" w:leftChars="-42"/>
              <w:jc w:val="center"/>
              <w:rPr>
                <w:sz w:val="21"/>
                <w:szCs w:val="21"/>
              </w:rPr>
            </w:pPr>
            <w:r>
              <w:rPr>
                <w:sz w:val="21"/>
                <w:szCs w:val="21"/>
              </w:rPr>
              <w:t>序号</w:t>
            </w:r>
          </w:p>
        </w:tc>
        <w:tc>
          <w:tcPr>
            <w:tcW w:w="2187" w:type="dxa"/>
            <w:vAlign w:val="center"/>
          </w:tcPr>
          <w:p>
            <w:pPr>
              <w:adjustRightInd w:val="0"/>
              <w:snapToGrid w:val="0"/>
              <w:ind w:left="-118" w:leftChars="-42"/>
              <w:jc w:val="center"/>
              <w:rPr>
                <w:sz w:val="21"/>
                <w:szCs w:val="21"/>
              </w:rPr>
            </w:pPr>
            <w:r>
              <w:rPr>
                <w:sz w:val="21"/>
                <w:szCs w:val="21"/>
              </w:rPr>
              <w:t>货物</w:t>
            </w:r>
            <w:r>
              <w:rPr>
                <w:rFonts w:hint="eastAsia"/>
                <w:sz w:val="21"/>
                <w:szCs w:val="21"/>
              </w:rPr>
              <w:t>（</w:t>
            </w:r>
            <w:r>
              <w:rPr>
                <w:sz w:val="21"/>
                <w:szCs w:val="21"/>
              </w:rPr>
              <w:t>服务</w:t>
            </w:r>
            <w:r>
              <w:rPr>
                <w:rFonts w:hint="eastAsia"/>
                <w:sz w:val="21"/>
                <w:szCs w:val="21"/>
              </w:rPr>
              <w:t>）</w:t>
            </w:r>
            <w:r>
              <w:rPr>
                <w:sz w:val="21"/>
                <w:szCs w:val="21"/>
              </w:rPr>
              <w:t>名称</w:t>
            </w:r>
          </w:p>
        </w:tc>
        <w:tc>
          <w:tcPr>
            <w:tcW w:w="1559" w:type="dxa"/>
            <w:tcBorders>
              <w:right w:val="single" w:color="auto" w:sz="4" w:space="0"/>
            </w:tcBorders>
            <w:vAlign w:val="center"/>
          </w:tcPr>
          <w:p>
            <w:pPr>
              <w:adjustRightInd w:val="0"/>
              <w:snapToGrid w:val="0"/>
              <w:jc w:val="center"/>
              <w:rPr>
                <w:sz w:val="21"/>
                <w:szCs w:val="21"/>
              </w:rPr>
            </w:pPr>
            <w:r>
              <w:rPr>
                <w:sz w:val="21"/>
                <w:szCs w:val="21"/>
              </w:rPr>
              <w:t>制造商</w:t>
            </w:r>
            <w:r>
              <w:rPr>
                <w:rFonts w:hint="eastAsia"/>
                <w:sz w:val="21"/>
                <w:szCs w:val="21"/>
              </w:rPr>
              <w:t>名称（全称）</w:t>
            </w:r>
          </w:p>
        </w:tc>
        <w:tc>
          <w:tcPr>
            <w:tcW w:w="1560" w:type="dxa"/>
            <w:tcBorders>
              <w:left w:val="single" w:color="auto" w:sz="4" w:space="0"/>
            </w:tcBorders>
            <w:vAlign w:val="center"/>
          </w:tcPr>
          <w:p>
            <w:pPr>
              <w:adjustRightInd w:val="0"/>
              <w:snapToGrid w:val="0"/>
              <w:jc w:val="center"/>
              <w:rPr>
                <w:sz w:val="21"/>
                <w:szCs w:val="21"/>
              </w:rPr>
            </w:pPr>
            <w:r>
              <w:rPr>
                <w:sz w:val="21"/>
                <w:szCs w:val="21"/>
              </w:rPr>
              <w:t>生产地</w:t>
            </w:r>
          </w:p>
        </w:tc>
        <w:tc>
          <w:tcPr>
            <w:tcW w:w="1701" w:type="dxa"/>
            <w:vAlign w:val="center"/>
          </w:tcPr>
          <w:p>
            <w:pPr>
              <w:adjustRightInd w:val="0"/>
              <w:snapToGrid w:val="0"/>
              <w:jc w:val="center"/>
              <w:rPr>
                <w:sz w:val="21"/>
                <w:szCs w:val="21"/>
              </w:rPr>
            </w:pPr>
            <w:r>
              <w:rPr>
                <w:sz w:val="21"/>
                <w:szCs w:val="21"/>
              </w:rPr>
              <w:t>规格型号</w:t>
            </w:r>
          </w:p>
        </w:tc>
        <w:tc>
          <w:tcPr>
            <w:tcW w:w="1134" w:type="dxa"/>
            <w:vAlign w:val="center"/>
          </w:tcPr>
          <w:p>
            <w:pPr>
              <w:adjustRightInd w:val="0"/>
              <w:snapToGrid w:val="0"/>
              <w:jc w:val="center"/>
              <w:rPr>
                <w:sz w:val="21"/>
                <w:szCs w:val="21"/>
              </w:rPr>
            </w:pPr>
            <w:r>
              <w:rPr>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1</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2</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3</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4</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5</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6</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7</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8</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资格性检查和符合性检查对照表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4656"/>
        <w:gridCol w:w="1116"/>
        <w:gridCol w:w="995"/>
        <w:gridCol w:w="88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序号</w:t>
            </w:r>
          </w:p>
        </w:tc>
        <w:tc>
          <w:tcPr>
            <w:tcW w:w="2732" w:type="pct"/>
            <w:shd w:val="clear" w:color="auto" w:fill="auto"/>
            <w:vAlign w:val="center"/>
          </w:tcPr>
          <w:p>
            <w:pPr>
              <w:jc w:val="center"/>
              <w:rPr>
                <w:sz w:val="21"/>
                <w:szCs w:val="21"/>
              </w:rPr>
            </w:pPr>
            <w:r>
              <w:rPr>
                <w:rFonts w:hint="eastAsia"/>
                <w:sz w:val="21"/>
                <w:szCs w:val="21"/>
              </w:rPr>
              <w:t>内    容</w:t>
            </w:r>
          </w:p>
        </w:tc>
        <w:tc>
          <w:tcPr>
            <w:tcW w:w="655" w:type="pct"/>
            <w:shd w:val="clear" w:color="auto" w:fill="auto"/>
            <w:vAlign w:val="center"/>
          </w:tcPr>
          <w:p>
            <w:pPr>
              <w:jc w:val="center"/>
              <w:rPr>
                <w:sz w:val="21"/>
                <w:szCs w:val="21"/>
              </w:rPr>
            </w:pPr>
            <w:r>
              <w:rPr>
                <w:rFonts w:hint="eastAsia"/>
                <w:sz w:val="21"/>
                <w:szCs w:val="21"/>
              </w:rPr>
              <w:t>采购文件要求</w:t>
            </w:r>
          </w:p>
        </w:tc>
        <w:tc>
          <w:tcPr>
            <w:tcW w:w="584" w:type="pct"/>
          </w:tcPr>
          <w:p>
            <w:pPr>
              <w:rPr>
                <w:sz w:val="21"/>
                <w:szCs w:val="21"/>
              </w:rPr>
            </w:pPr>
            <w:r>
              <w:rPr>
                <w:rFonts w:hint="eastAsia"/>
                <w:sz w:val="21"/>
                <w:szCs w:val="21"/>
              </w:rPr>
              <w:t>响应文件响应情况</w:t>
            </w:r>
          </w:p>
        </w:tc>
        <w:tc>
          <w:tcPr>
            <w:tcW w:w="519" w:type="pct"/>
            <w:shd w:val="clear" w:color="auto" w:fill="auto"/>
            <w:vAlign w:val="center"/>
          </w:tcPr>
          <w:p>
            <w:pPr>
              <w:rPr>
                <w:sz w:val="21"/>
                <w:szCs w:val="21"/>
              </w:rPr>
            </w:pPr>
            <w:r>
              <w:rPr>
                <w:rFonts w:hint="eastAsia"/>
                <w:sz w:val="21"/>
                <w:szCs w:val="21"/>
              </w:rPr>
              <w:t>偏离情况说明</w:t>
            </w:r>
          </w:p>
        </w:tc>
        <w:tc>
          <w:tcPr>
            <w:tcW w:w="255" w:type="pct"/>
            <w:shd w:val="clear" w:color="auto" w:fill="auto"/>
            <w:vAlign w:val="center"/>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55" w:type="pct"/>
            <w:shd w:val="clear" w:color="auto" w:fill="auto"/>
            <w:vAlign w:val="center"/>
          </w:tcPr>
          <w:p>
            <w:pPr>
              <w:jc w:val="center"/>
              <w:rPr>
                <w:sz w:val="21"/>
                <w:szCs w:val="21"/>
              </w:rPr>
            </w:pPr>
            <w:r>
              <w:rPr>
                <w:rFonts w:hint="eastAsia"/>
                <w:sz w:val="21"/>
                <w:szCs w:val="21"/>
              </w:rPr>
              <w:t>1</w:t>
            </w:r>
          </w:p>
        </w:tc>
        <w:tc>
          <w:tcPr>
            <w:tcW w:w="2732" w:type="pct"/>
            <w:shd w:val="clear" w:color="auto" w:fill="auto"/>
          </w:tcPr>
          <w:p>
            <w:pPr>
              <w:jc w:val="left"/>
              <w:rPr>
                <w:sz w:val="21"/>
                <w:szCs w:val="21"/>
              </w:rPr>
            </w:pPr>
            <w:r>
              <w:rPr>
                <w:sz w:val="21"/>
                <w:szCs w:val="21"/>
              </w:rPr>
              <w:t>谈判书</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trPr>
        <w:tc>
          <w:tcPr>
            <w:tcW w:w="255" w:type="pct"/>
            <w:shd w:val="clear" w:color="auto" w:fill="auto"/>
            <w:vAlign w:val="center"/>
          </w:tcPr>
          <w:p>
            <w:pPr>
              <w:jc w:val="center"/>
              <w:rPr>
                <w:sz w:val="21"/>
                <w:szCs w:val="21"/>
              </w:rPr>
            </w:pPr>
            <w:r>
              <w:rPr>
                <w:rFonts w:hint="eastAsia"/>
                <w:sz w:val="21"/>
                <w:szCs w:val="21"/>
              </w:rPr>
              <w:t>2</w:t>
            </w:r>
          </w:p>
        </w:tc>
        <w:tc>
          <w:tcPr>
            <w:tcW w:w="2732" w:type="pct"/>
            <w:shd w:val="clear" w:color="auto" w:fill="auto"/>
          </w:tcPr>
          <w:p>
            <w:pPr>
              <w:jc w:val="left"/>
              <w:rPr>
                <w:sz w:val="21"/>
                <w:szCs w:val="21"/>
              </w:rPr>
            </w:pPr>
            <w:r>
              <w:rPr>
                <w:sz w:val="21"/>
                <w:szCs w:val="21"/>
              </w:rPr>
              <w:t>报价组成情况表</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3</w:t>
            </w:r>
          </w:p>
        </w:tc>
        <w:tc>
          <w:tcPr>
            <w:tcW w:w="2732" w:type="pct"/>
            <w:shd w:val="clear" w:color="auto" w:fill="auto"/>
          </w:tcPr>
          <w:p>
            <w:pPr>
              <w:jc w:val="left"/>
              <w:rPr>
                <w:sz w:val="21"/>
                <w:szCs w:val="21"/>
              </w:rPr>
            </w:pPr>
            <w:r>
              <w:rPr>
                <w:sz w:val="21"/>
                <w:szCs w:val="21"/>
              </w:rPr>
              <w:t>货物（服务）清单</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4</w:t>
            </w:r>
          </w:p>
        </w:tc>
        <w:tc>
          <w:tcPr>
            <w:tcW w:w="2732" w:type="pct"/>
            <w:shd w:val="clear" w:color="auto" w:fill="auto"/>
          </w:tcPr>
          <w:p>
            <w:pPr>
              <w:jc w:val="left"/>
              <w:rPr>
                <w:sz w:val="21"/>
                <w:szCs w:val="21"/>
              </w:rPr>
            </w:pPr>
            <w:r>
              <w:rPr>
                <w:sz w:val="21"/>
                <w:szCs w:val="21"/>
              </w:rPr>
              <w:t>资格性</w:t>
            </w:r>
            <w:r>
              <w:rPr>
                <w:rFonts w:hint="eastAsia"/>
                <w:sz w:val="21"/>
                <w:szCs w:val="21"/>
              </w:rPr>
              <w:t>检查和</w:t>
            </w:r>
            <w:r>
              <w:rPr>
                <w:sz w:val="21"/>
                <w:szCs w:val="21"/>
              </w:rPr>
              <w:t>符合性检查对照表</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5</w:t>
            </w:r>
          </w:p>
        </w:tc>
        <w:tc>
          <w:tcPr>
            <w:tcW w:w="2732" w:type="pct"/>
            <w:shd w:val="clear" w:color="auto" w:fill="auto"/>
          </w:tcPr>
          <w:p>
            <w:pPr>
              <w:jc w:val="left"/>
              <w:rPr>
                <w:sz w:val="21"/>
                <w:szCs w:val="21"/>
              </w:rPr>
            </w:pPr>
            <w:r>
              <w:rPr>
                <w:sz w:val="21"/>
                <w:szCs w:val="21"/>
              </w:rPr>
              <w:t>法人（负责人）代表授权书</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6</w:t>
            </w:r>
          </w:p>
        </w:tc>
        <w:tc>
          <w:tcPr>
            <w:tcW w:w="2732" w:type="pct"/>
            <w:shd w:val="clear" w:color="auto" w:fill="auto"/>
          </w:tcPr>
          <w:p>
            <w:pPr>
              <w:jc w:val="left"/>
              <w:rPr>
                <w:sz w:val="21"/>
                <w:szCs w:val="21"/>
              </w:rPr>
            </w:pPr>
            <w:r>
              <w:rPr>
                <w:sz w:val="21"/>
                <w:szCs w:val="21"/>
              </w:rPr>
              <w:t>法人或者其他组织的营业执照等证明文件，自然人的身份证明</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7</w:t>
            </w:r>
          </w:p>
        </w:tc>
        <w:tc>
          <w:tcPr>
            <w:tcW w:w="2732" w:type="pct"/>
            <w:shd w:val="clear" w:color="auto" w:fill="auto"/>
          </w:tcPr>
          <w:p>
            <w:pPr>
              <w:jc w:val="left"/>
              <w:rPr>
                <w:sz w:val="21"/>
                <w:szCs w:val="21"/>
              </w:rPr>
            </w:pPr>
            <w:r>
              <w:rPr>
                <w:sz w:val="21"/>
                <w:szCs w:val="21"/>
              </w:rPr>
              <w:t>符合国家相关规定的财务状况报告书面承诺书，依法缴纳税收和社会保障资金的书面承诺书</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8</w:t>
            </w:r>
          </w:p>
        </w:tc>
        <w:tc>
          <w:tcPr>
            <w:tcW w:w="2732" w:type="pct"/>
            <w:shd w:val="clear" w:color="auto" w:fill="auto"/>
          </w:tcPr>
          <w:p>
            <w:pPr>
              <w:jc w:val="left"/>
              <w:rPr>
                <w:sz w:val="21"/>
                <w:szCs w:val="21"/>
              </w:rPr>
            </w:pPr>
            <w:r>
              <w:rPr>
                <w:sz w:val="21"/>
                <w:szCs w:val="21"/>
              </w:rPr>
              <w:t>具备履行合同所必需的设备和专业技术能力的书面承诺书</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9</w:t>
            </w:r>
          </w:p>
        </w:tc>
        <w:tc>
          <w:tcPr>
            <w:tcW w:w="2732" w:type="pct"/>
            <w:shd w:val="clear" w:color="auto" w:fill="auto"/>
          </w:tcPr>
          <w:p>
            <w:pPr>
              <w:jc w:val="left"/>
              <w:rPr>
                <w:sz w:val="21"/>
                <w:szCs w:val="21"/>
              </w:rPr>
            </w:pPr>
            <w:r>
              <w:rPr>
                <w:sz w:val="21"/>
                <w:szCs w:val="21"/>
              </w:rPr>
              <w:t>参加政府采购活动前3年内在经营活动中没有重大违法记录的书面声明</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 w:type="pct"/>
            <w:shd w:val="clear" w:color="auto" w:fill="auto"/>
            <w:vAlign w:val="center"/>
          </w:tcPr>
          <w:p>
            <w:pPr>
              <w:jc w:val="center"/>
              <w:rPr>
                <w:sz w:val="21"/>
                <w:szCs w:val="21"/>
              </w:rPr>
            </w:pPr>
            <w:r>
              <w:rPr>
                <w:rFonts w:hint="eastAsia"/>
                <w:sz w:val="21"/>
                <w:szCs w:val="21"/>
              </w:rPr>
              <w:t>10</w:t>
            </w:r>
          </w:p>
        </w:tc>
        <w:tc>
          <w:tcPr>
            <w:tcW w:w="2732" w:type="pct"/>
            <w:shd w:val="clear" w:color="auto" w:fill="auto"/>
          </w:tcPr>
          <w:p>
            <w:pPr>
              <w:jc w:val="left"/>
              <w:rPr>
                <w:sz w:val="21"/>
                <w:szCs w:val="21"/>
              </w:rPr>
            </w:pPr>
            <w:r>
              <w:rPr>
                <w:rFonts w:hint="eastAsia"/>
                <w:sz w:val="21"/>
                <w:szCs w:val="21"/>
              </w:rPr>
              <w:t>未被列入“信用中国”网站（www.creditchina.gov.cn）失信被执行人和重大税收违法案件当事人名单以及“中国政府采购网”(www.ccgp.gov.cn)的政府采购严重违法失信行为记录名单</w:t>
            </w:r>
            <w:r>
              <w:rPr>
                <w:sz w:val="21"/>
                <w:szCs w:val="21"/>
              </w:rPr>
              <w:t>的书面声明</w:t>
            </w:r>
          </w:p>
        </w:tc>
        <w:tc>
          <w:tcPr>
            <w:tcW w:w="655" w:type="pct"/>
            <w:shd w:val="clear" w:color="auto" w:fill="auto"/>
            <w:vAlign w:val="center"/>
          </w:tcPr>
          <w:p>
            <w:pPr>
              <w:jc w:val="center"/>
              <w:rPr>
                <w:sz w:val="21"/>
                <w:szCs w:val="21"/>
              </w:rPr>
            </w:pPr>
          </w:p>
        </w:tc>
        <w:tc>
          <w:tcPr>
            <w:tcW w:w="584" w:type="pct"/>
          </w:tcPr>
          <w:p>
            <w:pPr>
              <w:rPr>
                <w:sz w:val="21"/>
                <w:szCs w:val="21"/>
              </w:rPr>
            </w:pPr>
          </w:p>
        </w:tc>
        <w:tc>
          <w:tcPr>
            <w:tcW w:w="519" w:type="pct"/>
            <w:shd w:val="clear" w:color="auto" w:fill="auto"/>
          </w:tcPr>
          <w:p>
            <w:pPr>
              <w:rPr>
                <w:sz w:val="21"/>
                <w:szCs w:val="21"/>
              </w:rPr>
            </w:pPr>
          </w:p>
        </w:tc>
        <w:tc>
          <w:tcPr>
            <w:tcW w:w="255"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sz w:val="21"/>
                <w:szCs w:val="21"/>
              </w:rPr>
            </w:pPr>
            <w:r>
              <w:rPr>
                <w:rFonts w:hint="eastAsia"/>
                <w:sz w:val="21"/>
                <w:szCs w:val="21"/>
              </w:rPr>
              <w:t>11</w:t>
            </w:r>
          </w:p>
        </w:tc>
        <w:tc>
          <w:tcPr>
            <w:tcW w:w="0" w:type="auto"/>
          </w:tcPr>
          <w:p>
            <w:pPr>
              <w:rPr>
                <w:sz w:val="21"/>
                <w:szCs w:val="21"/>
              </w:rPr>
            </w:pPr>
            <w:r>
              <w:rPr>
                <w:rFonts w:hint="eastAsia"/>
                <w:sz w:val="21"/>
                <w:szCs w:val="21"/>
              </w:rPr>
              <w:t xml:space="preserve">响应文件有效期: 递交响应文件之日算起 </w:t>
            </w:r>
            <w:r>
              <w:rPr>
                <w:sz w:val="21"/>
                <w:szCs w:val="21"/>
              </w:rPr>
              <w:t xml:space="preserve">90 </w:t>
            </w:r>
            <w:r>
              <w:rPr>
                <w:rFonts w:hint="eastAsia"/>
                <w:sz w:val="21"/>
                <w:szCs w:val="21"/>
              </w:rPr>
              <w:t>日历日内保持有效。</w:t>
            </w:r>
          </w:p>
        </w:tc>
        <w:tc>
          <w:tcPr>
            <w:tcW w:w="0" w:type="auto"/>
          </w:tcPr>
          <w:p>
            <w:pPr>
              <w:jc w:val="cente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sz w:val="21"/>
                <w:szCs w:val="21"/>
              </w:rPr>
            </w:pPr>
            <w:r>
              <w:rPr>
                <w:rFonts w:hint="eastAsia"/>
                <w:sz w:val="21"/>
                <w:szCs w:val="21"/>
              </w:rPr>
              <w:t>12</w:t>
            </w:r>
          </w:p>
        </w:tc>
        <w:tc>
          <w:tcPr>
            <w:tcW w:w="0" w:type="auto"/>
          </w:tcPr>
          <w:p>
            <w:pPr>
              <w:rPr>
                <w:sz w:val="21"/>
                <w:szCs w:val="21"/>
              </w:rPr>
            </w:pPr>
            <w:r>
              <w:rPr>
                <w:rFonts w:hint="eastAsia"/>
                <w:sz w:val="21"/>
                <w:szCs w:val="21"/>
              </w:rPr>
              <w:t>中小企业声明函</w:t>
            </w:r>
          </w:p>
        </w:tc>
        <w:tc>
          <w:tcPr>
            <w:tcW w:w="0" w:type="auto"/>
          </w:tcPr>
          <w:p>
            <w:pPr>
              <w:jc w:val="cente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r>
    </w:tbl>
    <w:p>
      <w:pPr>
        <w:spacing w:line="240" w:lineRule="atLeast"/>
        <w:rPr>
          <w:sz w:val="24"/>
        </w:rPr>
      </w:pPr>
      <w:r>
        <w:rPr>
          <w:sz w:val="24"/>
        </w:rPr>
        <w:t xml:space="preserve">说明：1. </w:t>
      </w:r>
      <w:r>
        <w:rPr>
          <w:rFonts w:hint="eastAsia"/>
          <w:sz w:val="24"/>
        </w:rPr>
        <w:t>“</w:t>
      </w:r>
      <w:r>
        <w:rPr>
          <w:sz w:val="24"/>
        </w:rPr>
        <w:t>备注</w:t>
      </w:r>
      <w:r>
        <w:rPr>
          <w:rFonts w:hint="eastAsia"/>
          <w:sz w:val="24"/>
        </w:rPr>
        <w:t>”</w:t>
      </w:r>
      <w:r>
        <w:rPr>
          <w:sz w:val="24"/>
        </w:rPr>
        <w:t>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u w:val="single"/>
        </w:rPr>
      </w:pPr>
      <w:r>
        <w:rPr>
          <w:sz w:val="24"/>
        </w:rPr>
        <w:t>供应商名称（公章）：</w:t>
      </w:r>
    </w:p>
    <w:p>
      <w:pPr>
        <w:spacing w:line="440" w:lineRule="exact"/>
        <w:rPr>
          <w:bCs/>
          <w:sz w:val="24"/>
        </w:rPr>
      </w:pPr>
      <w:r>
        <w:rPr>
          <w:sz w:val="24"/>
        </w:rPr>
        <w:t>时间：</w:t>
      </w: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w:t>
      </w:r>
      <w:r>
        <w:rPr>
          <w:rFonts w:hint="eastAsia"/>
          <w:bCs/>
          <w:sz w:val="32"/>
          <w:szCs w:val="32"/>
        </w:rPr>
        <w:t>服务</w:t>
      </w:r>
      <w:r>
        <w:rPr>
          <w:bCs/>
          <w:sz w:val="32"/>
          <w:szCs w:val="32"/>
        </w:rPr>
        <w:t>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28"/>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2126"/>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谈判文件要求部分</w:t>
            </w:r>
          </w:p>
        </w:tc>
        <w:tc>
          <w:tcPr>
            <w:tcW w:w="2126" w:type="dxa"/>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响应文件的响应部分</w:t>
            </w:r>
          </w:p>
        </w:tc>
        <w:tc>
          <w:tcPr>
            <w:tcW w:w="1134" w:type="dxa"/>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偏离说明</w:t>
            </w:r>
          </w:p>
        </w:tc>
        <w:tc>
          <w:tcPr>
            <w:tcW w:w="759" w:type="dxa"/>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3" w:type="dxa"/>
          </w:tcPr>
          <w:p>
            <w:pPr>
              <w:widowControl/>
              <w:spacing w:line="240" w:lineRule="atLeast"/>
              <w:jc w:val="left"/>
              <w:rPr>
                <w:rFonts w:asciiTheme="minorEastAsia" w:hAnsiTheme="minorEastAsia" w:eastAsiaTheme="minorEastAsia"/>
                <w:sz w:val="21"/>
                <w:szCs w:val="21"/>
                <w:lang w:bidi="zh-CN"/>
              </w:rPr>
            </w:pPr>
          </w:p>
        </w:tc>
        <w:tc>
          <w:tcPr>
            <w:tcW w:w="2126" w:type="dxa"/>
          </w:tcPr>
          <w:p>
            <w:pPr>
              <w:widowControl/>
              <w:spacing w:line="240" w:lineRule="atLeast"/>
              <w:jc w:val="left"/>
              <w:rPr>
                <w:rFonts w:asciiTheme="minorEastAsia" w:hAnsiTheme="minorEastAsia" w:eastAsiaTheme="minorEastAsia"/>
                <w:sz w:val="21"/>
                <w:szCs w:val="21"/>
                <w:lang w:bidi="zh-CN"/>
              </w:rPr>
            </w:pPr>
          </w:p>
        </w:tc>
        <w:tc>
          <w:tcPr>
            <w:tcW w:w="1134" w:type="dxa"/>
          </w:tcPr>
          <w:p>
            <w:pPr>
              <w:widowControl/>
              <w:spacing w:line="240" w:lineRule="atLeast"/>
              <w:jc w:val="left"/>
              <w:rPr>
                <w:rFonts w:asciiTheme="minorEastAsia" w:hAnsiTheme="minorEastAsia" w:eastAsiaTheme="minorEastAsia"/>
                <w:sz w:val="21"/>
                <w:szCs w:val="21"/>
                <w:lang w:bidi="zh-CN"/>
              </w:rPr>
            </w:pPr>
          </w:p>
        </w:tc>
        <w:tc>
          <w:tcPr>
            <w:tcW w:w="759" w:type="dxa"/>
          </w:tcPr>
          <w:p>
            <w:pPr>
              <w:widowControl/>
              <w:spacing w:line="240" w:lineRule="atLeast"/>
              <w:jc w:val="left"/>
              <w:rPr>
                <w:rFonts w:asciiTheme="minorEastAsia" w:hAnsiTheme="minorEastAsia" w:eastAsiaTheme="minorEastAsia"/>
                <w:sz w:val="21"/>
                <w:szCs w:val="21"/>
                <w:lang w:bidi="zh-CN"/>
              </w:rPr>
            </w:pPr>
          </w:p>
        </w:tc>
      </w:tr>
    </w:tbl>
    <w:p>
      <w:pPr>
        <w:adjustRightInd w:val="0"/>
        <w:snapToGrid w:val="0"/>
        <w:ind w:left="720" w:hanging="720" w:hangingChars="300"/>
        <w:rPr>
          <w:rFonts w:ascii="宋体" w:hAnsi="宋体"/>
          <w:sz w:val="24"/>
        </w:rPr>
      </w:pPr>
    </w:p>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 xml:space="preserve">1. </w:t>
      </w:r>
      <w:r>
        <w:rPr>
          <w:rFonts w:hint="eastAsia"/>
          <w:sz w:val="24"/>
        </w:rPr>
        <w:t>“</w:t>
      </w:r>
      <w:r>
        <w:rPr>
          <w:sz w:val="24"/>
        </w:rPr>
        <w:t>备注</w:t>
      </w:r>
      <w:r>
        <w:rPr>
          <w:rFonts w:hint="eastAsia"/>
          <w:sz w:val="24"/>
        </w:rPr>
        <w:t>”</w:t>
      </w:r>
      <w:r>
        <w:rPr>
          <w:sz w:val="24"/>
        </w:rPr>
        <w:t>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rFonts w:hint="eastAsia"/>
          <w:bCs/>
          <w:sz w:val="32"/>
          <w:szCs w:val="32"/>
        </w:rPr>
        <w:t>商务和</w:t>
      </w:r>
      <w:r>
        <w:rPr>
          <w:bCs/>
          <w:sz w:val="32"/>
          <w:szCs w:val="32"/>
        </w:rPr>
        <w:t>合同条款响应、偏离情况说明表</w:t>
      </w:r>
    </w:p>
    <w:p>
      <w:pPr>
        <w:rPr>
          <w:bCs/>
          <w:sz w:val="24"/>
        </w:rPr>
      </w:pPr>
      <w:r>
        <w:rPr>
          <w:bCs/>
          <w:sz w:val="24"/>
        </w:rPr>
        <w:t>项目名称：</w:t>
      </w:r>
    </w:p>
    <w:p>
      <w:pPr>
        <w:rPr>
          <w:bCs/>
          <w:sz w:val="24"/>
        </w:rPr>
      </w:pPr>
      <w:r>
        <w:rPr>
          <w:bCs/>
          <w:sz w:val="24"/>
        </w:rPr>
        <w:t>项目编号：</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2188"/>
        <w:gridCol w:w="116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谈判文件要求部分</w:t>
            </w:r>
          </w:p>
        </w:tc>
        <w:tc>
          <w:tcPr>
            <w:tcW w:w="1284" w:type="pct"/>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响应文件的响应部分</w:t>
            </w:r>
          </w:p>
        </w:tc>
        <w:tc>
          <w:tcPr>
            <w:tcW w:w="685" w:type="pct"/>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偏离说明</w:t>
            </w:r>
          </w:p>
        </w:tc>
        <w:tc>
          <w:tcPr>
            <w:tcW w:w="457" w:type="pct"/>
            <w:vAlign w:val="center"/>
          </w:tcPr>
          <w:p>
            <w:pPr>
              <w:spacing w:line="24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r>
        <w:tc>
          <w:tcPr>
            <w:tcW w:w="2574" w:type="pct"/>
          </w:tcPr>
          <w:p>
            <w:pPr>
              <w:widowControl/>
              <w:spacing w:line="240" w:lineRule="atLeast"/>
              <w:jc w:val="left"/>
              <w:rPr>
                <w:rFonts w:asciiTheme="minorEastAsia" w:hAnsiTheme="minorEastAsia" w:eastAsiaTheme="minorEastAsia"/>
                <w:sz w:val="21"/>
                <w:szCs w:val="21"/>
                <w:lang w:bidi="zh-CN"/>
              </w:rPr>
            </w:pPr>
          </w:p>
        </w:tc>
        <w:tc>
          <w:tcPr>
            <w:tcW w:w="1284" w:type="pct"/>
          </w:tcPr>
          <w:p>
            <w:pPr>
              <w:widowControl/>
              <w:spacing w:line="240" w:lineRule="atLeast"/>
              <w:jc w:val="left"/>
              <w:rPr>
                <w:rFonts w:asciiTheme="minorEastAsia" w:hAnsiTheme="minorEastAsia" w:eastAsiaTheme="minorEastAsia"/>
                <w:sz w:val="21"/>
                <w:szCs w:val="21"/>
                <w:lang w:bidi="zh-CN"/>
              </w:rPr>
            </w:pPr>
          </w:p>
        </w:tc>
        <w:tc>
          <w:tcPr>
            <w:tcW w:w="685" w:type="pct"/>
          </w:tcPr>
          <w:p>
            <w:pPr>
              <w:widowControl/>
              <w:spacing w:line="240" w:lineRule="atLeast"/>
              <w:jc w:val="left"/>
              <w:rPr>
                <w:rFonts w:asciiTheme="minorEastAsia" w:hAnsiTheme="minorEastAsia" w:eastAsiaTheme="minorEastAsia"/>
                <w:sz w:val="21"/>
                <w:szCs w:val="21"/>
                <w:lang w:bidi="zh-CN"/>
              </w:rPr>
            </w:pPr>
          </w:p>
        </w:tc>
        <w:tc>
          <w:tcPr>
            <w:tcW w:w="457" w:type="pct"/>
          </w:tcPr>
          <w:p>
            <w:pPr>
              <w:widowControl/>
              <w:spacing w:line="240" w:lineRule="atLeast"/>
              <w:jc w:val="left"/>
              <w:rPr>
                <w:rFonts w:asciiTheme="minorEastAsia" w:hAnsiTheme="minorEastAsia" w:eastAsiaTheme="minorEastAsia"/>
                <w:sz w:val="21"/>
                <w:szCs w:val="21"/>
                <w:lang w:bidi="zh-CN"/>
              </w:rPr>
            </w:pPr>
          </w:p>
        </w:tc>
      </w:tr>
    </w:tbl>
    <w:p>
      <w:pPr>
        <w:pStyle w:val="16"/>
        <w:spacing w:line="300" w:lineRule="auto"/>
        <w:ind w:firstLine="0"/>
        <w:rPr>
          <w:rFonts w:ascii="宋体" w:hAnsi="宋体"/>
          <w:sz w:val="24"/>
          <w:szCs w:val="24"/>
        </w:rPr>
      </w:pPr>
    </w:p>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 xml:space="preserve">1. </w:t>
      </w:r>
      <w:r>
        <w:rPr>
          <w:rFonts w:hint="eastAsia"/>
          <w:sz w:val="24"/>
        </w:rPr>
        <w:t>“</w:t>
      </w:r>
      <w:r>
        <w:rPr>
          <w:sz w:val="24"/>
        </w:rPr>
        <w:t>备注</w:t>
      </w:r>
      <w:r>
        <w:rPr>
          <w:rFonts w:hint="eastAsia"/>
          <w:sz w:val="24"/>
        </w:rPr>
        <w:t>”</w:t>
      </w:r>
      <w:r>
        <w:rPr>
          <w:sz w:val="24"/>
        </w:rPr>
        <w:t>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时间：</w:t>
      </w:r>
    </w:p>
    <w:p>
      <w:pPr>
        <w:rPr>
          <w:bCs/>
          <w:sz w:val="24"/>
        </w:rPr>
      </w:pPr>
    </w:p>
    <w:p>
      <w:pPr>
        <w:rPr>
          <w:bCs/>
          <w:sz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rPr>
          <w:bCs/>
          <w:sz w:val="24"/>
        </w:rPr>
      </w:pPr>
    </w:p>
    <w:p>
      <w:pPr>
        <w:rPr>
          <w:sz w:val="24"/>
        </w:rPr>
      </w:pPr>
      <w:r>
        <w:rPr>
          <w:rFonts w:hint="eastAsia"/>
          <w:bCs/>
          <w:sz w:val="24"/>
        </w:rPr>
        <w:t>（集中采购机构名称）</w:t>
      </w:r>
      <w:r>
        <w:rPr>
          <w:sz w:val="24"/>
        </w:rPr>
        <w:t>：</w:t>
      </w:r>
    </w:p>
    <w:p>
      <w:pPr>
        <w:spacing w:line="440" w:lineRule="exact"/>
        <w:ind w:firstLine="480" w:firstLineChars="200"/>
        <w:rPr>
          <w:bCs/>
          <w:sz w:val="24"/>
        </w:rPr>
      </w:pPr>
      <w:r>
        <w:rPr>
          <w:bCs/>
          <w:sz w:val="24"/>
          <w:u w:val="single"/>
        </w:rPr>
        <w:t>（供应商名称）</w:t>
      </w:r>
      <w:r>
        <w:rPr>
          <w:bCs/>
          <w:sz w:val="24"/>
        </w:rPr>
        <w:t>（</w:t>
      </w:r>
      <w:r>
        <w:rPr>
          <w:bCs/>
          <w:sz w:val="24"/>
          <w:u w:val="single"/>
        </w:rPr>
        <w:t>法定</w:t>
      </w:r>
      <w:r>
        <w:rPr>
          <w:rFonts w:hint="eastAsia"/>
          <w:bCs/>
          <w:sz w:val="24"/>
          <w:u w:val="single"/>
        </w:rPr>
        <w:t>或负责人</w:t>
      </w:r>
      <w:r>
        <w:rPr>
          <w:bCs/>
          <w:sz w:val="24"/>
          <w:u w:val="single"/>
        </w:rPr>
        <w:t>代表人姓名、职务</w:t>
      </w:r>
      <w:r>
        <w:rPr>
          <w:bCs/>
          <w:sz w:val="24"/>
        </w:rPr>
        <w:t>）代表本公司授权（供应商名称）</w:t>
      </w:r>
      <w:r>
        <w:rPr>
          <w:bCs/>
          <w:sz w:val="24"/>
          <w:u w:val="single"/>
        </w:rPr>
        <w:t>（被授权代表的姓名、职务）</w:t>
      </w:r>
      <w:r>
        <w:rPr>
          <w:bCs/>
          <w:sz w:val="24"/>
        </w:rPr>
        <w:t>为本公司的合法代理人，</w:t>
      </w:r>
      <w:r>
        <w:rPr>
          <w:rFonts w:hint="eastAsia"/>
          <w:bCs/>
          <w:sz w:val="24"/>
        </w:rPr>
        <w:t>参加</w:t>
      </w:r>
      <w:r>
        <w:rPr>
          <w:bCs/>
          <w:sz w:val="24"/>
        </w:rPr>
        <w:t>（</w:t>
      </w:r>
      <w:r>
        <w:rPr>
          <w:bCs/>
          <w:sz w:val="24"/>
          <w:u w:val="single"/>
        </w:rPr>
        <w:t>项目名称、项目编号</w:t>
      </w:r>
      <w:r>
        <w:rPr>
          <w:bCs/>
          <w:sz w:val="24"/>
        </w:rPr>
        <w:t>）的</w:t>
      </w:r>
      <w:r>
        <w:rPr>
          <w:rFonts w:hint="eastAsia"/>
          <w:bCs/>
          <w:sz w:val="24"/>
        </w:rPr>
        <w:t>谈判</w:t>
      </w:r>
      <w:r>
        <w:rPr>
          <w:bCs/>
          <w:sz w:val="24"/>
        </w:rPr>
        <w:t>，</w:t>
      </w:r>
      <w:r>
        <w:rPr>
          <w:rFonts w:hint="eastAsia"/>
          <w:bCs/>
          <w:sz w:val="24"/>
        </w:rPr>
        <w:t>并</w:t>
      </w:r>
      <w:r>
        <w:rPr>
          <w:bCs/>
          <w:sz w:val="24"/>
        </w:rPr>
        <w:t>以本公司的名义处理一切与之有关的事务。</w:t>
      </w:r>
    </w:p>
    <w:p>
      <w:pPr>
        <w:spacing w:line="440" w:lineRule="exact"/>
        <w:ind w:firstLine="480" w:firstLineChars="200"/>
        <w:rPr>
          <w:sz w:val="24"/>
        </w:rPr>
      </w:pPr>
      <w:r>
        <w:rPr>
          <w:rFonts w:hint="eastAsia" w:cs="宋体"/>
          <w:sz w:val="24"/>
        </w:rPr>
        <w:t>本授权书自（</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）日至（</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bCs/>
          <w:sz w:val="24"/>
          <w:u w:val="single"/>
        </w:rPr>
        <w:t xml:space="preserve">           </w:t>
      </w:r>
      <w:r>
        <w:rPr>
          <w:bCs/>
          <w:sz w:val="24"/>
        </w:rPr>
        <w:t xml:space="preserve">    </w:t>
      </w:r>
      <w:r>
        <w:rPr>
          <w:rFonts w:hint="eastAsia"/>
          <w:bCs/>
          <w:sz w:val="24"/>
        </w:rPr>
        <w:t xml:space="preserve">       </w:t>
      </w:r>
      <w:r>
        <w:rPr>
          <w:bCs/>
          <w:sz w:val="24"/>
        </w:rPr>
        <w:t>被授权人：</w:t>
      </w:r>
      <w:r>
        <w:rPr>
          <w:bCs/>
          <w:sz w:val="24"/>
          <w:u w:val="single"/>
        </w:rPr>
        <w:t xml:space="preserve">  </w:t>
      </w:r>
      <w:r>
        <w:rPr>
          <w:rFonts w:hint="eastAsia"/>
          <w:bCs/>
          <w:sz w:val="24"/>
          <w:u w:val="single"/>
        </w:rPr>
        <w:t>（姓名）</w:t>
      </w:r>
      <w:r>
        <w:rPr>
          <w:bCs/>
          <w:sz w:val="24"/>
          <w:u w:val="single"/>
        </w:rPr>
        <w:t xml:space="preserve"> </w:t>
      </w:r>
      <w:r>
        <w:rPr>
          <w:rFonts w:hint="eastAsia"/>
          <w:bCs/>
          <w:sz w:val="24"/>
          <w:u w:val="single"/>
        </w:rPr>
        <w:t xml:space="preserve">  </w:t>
      </w:r>
      <w:r>
        <w:rPr>
          <w:bCs/>
          <w:sz w:val="24"/>
          <w:u w:val="single"/>
        </w:rPr>
        <w:t xml:space="preserve"> </w:t>
      </w:r>
      <w:r>
        <w:rPr>
          <w:bCs/>
          <w:sz w:val="24"/>
        </w:rPr>
        <w:t xml:space="preserve"> </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bCs/>
          <w:sz w:val="24"/>
          <w:u w:val="single"/>
        </w:rPr>
        <w:t xml:space="preserve">      </w:t>
      </w:r>
      <w:r>
        <w:rPr>
          <w:bCs/>
          <w:sz w:val="24"/>
        </w:rPr>
        <w:t xml:space="preserve"> </w:t>
      </w:r>
      <w:r>
        <w:rPr>
          <w:rFonts w:hint="eastAsia"/>
          <w:bCs/>
          <w:sz w:val="24"/>
        </w:rPr>
        <w:t xml:space="preserve">     </w:t>
      </w:r>
      <w:r>
        <w:rPr>
          <w:bCs/>
          <w:sz w:val="24"/>
        </w:rPr>
        <w:t>身份证号码：</w:t>
      </w:r>
      <w:r>
        <w:rPr>
          <w:bCs/>
          <w:sz w:val="24"/>
          <w:u w:val="single"/>
        </w:rPr>
        <w:t xml:space="preserve">                </w:t>
      </w:r>
    </w:p>
    <w:p>
      <w:pPr>
        <w:spacing w:before="312" w:beforeLines="100" w:after="100" w:afterAutospacing="1"/>
        <w:ind w:firstLine="480" w:firstLineChars="200"/>
        <w:rPr>
          <w:bCs/>
          <w:sz w:val="24"/>
          <w:u w:val="single"/>
        </w:rPr>
      </w:pPr>
      <w:r>
        <w:rPr>
          <w:bCs/>
          <w:sz w:val="24"/>
        </w:rPr>
        <w:t>电话：</w:t>
      </w:r>
      <w:r>
        <w:rPr>
          <w:bCs/>
          <w:sz w:val="24"/>
          <w:u w:val="single"/>
        </w:rPr>
        <w:t xml:space="preserve">                        </w:t>
      </w:r>
      <w:r>
        <w:rPr>
          <w:bCs/>
          <w:sz w:val="24"/>
        </w:rPr>
        <w:t xml:space="preserve">           电话（手机）：</w:t>
      </w:r>
      <w:r>
        <w:rPr>
          <w:bCs/>
          <w:sz w:val="24"/>
          <w:u w:val="single"/>
        </w:rPr>
        <w:t xml:space="preserve">               </w:t>
      </w:r>
    </w:p>
    <w:p>
      <w:pPr>
        <w:spacing w:before="312" w:beforeLines="100" w:after="100" w:afterAutospacing="1"/>
        <w:ind w:firstLine="480" w:firstLineChars="200"/>
        <w:rPr>
          <w:bCs/>
          <w:sz w:val="24"/>
          <w:u w:val="single"/>
        </w:rPr>
      </w:pPr>
      <w:r>
        <w:rPr>
          <w:bCs/>
          <w:sz w:val="24"/>
        </w:rPr>
        <w:t>传真：</w:t>
      </w:r>
      <w:r>
        <w:rPr>
          <w:bCs/>
          <w:sz w:val="24"/>
          <w:u w:val="single"/>
        </w:rPr>
        <w:t xml:space="preserve">                        </w:t>
      </w:r>
      <w:r>
        <w:rPr>
          <w:bCs/>
          <w:sz w:val="24"/>
        </w:rPr>
        <w:t xml:space="preserve">           办公电话/传真：</w:t>
      </w:r>
      <w:r>
        <w:rPr>
          <w:bCs/>
          <w:sz w:val="24"/>
          <w:u w:val="single"/>
        </w:rPr>
        <w:t xml:space="preserve">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5000" w:type="pct"/>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r>
        <w:rPr>
          <w:b/>
          <w:bCs/>
          <w:sz w:val="30"/>
          <w:szCs w:val="30"/>
        </w:rPr>
        <w:t>特别提醒：</w:t>
      </w:r>
      <w:r>
        <w:rPr>
          <w:rFonts w:hint="eastAsia"/>
          <w:b/>
          <w:bCs/>
          <w:sz w:val="30"/>
          <w:szCs w:val="30"/>
        </w:rPr>
        <w:t>被授权代表在得到授权后方可签署投标文件。</w:t>
      </w: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rPr>
          <w:bCs/>
          <w:sz w:val="24"/>
        </w:rPr>
      </w:pP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60" w:hanging="360" w:hangingChars="150"/>
        <w:rPr>
          <w:bCs/>
          <w:sz w:val="24"/>
        </w:rPr>
      </w:pPr>
    </w:p>
    <w:p>
      <w:pPr>
        <w:spacing w:line="500" w:lineRule="exact"/>
        <w:ind w:firstLine="648"/>
        <w:jc w:val="center"/>
        <w:rPr>
          <w:bCs/>
          <w:sz w:val="32"/>
          <w:szCs w:val="32"/>
        </w:rPr>
      </w:pPr>
      <w:r>
        <w:rPr>
          <w:rFonts w:hint="eastAsia"/>
          <w:bCs/>
          <w:sz w:val="32"/>
          <w:szCs w:val="32"/>
        </w:rPr>
        <w:t>符合国家相关规定的财务状况报告书面承诺书，依法缴纳税收和社会保障金的书面承诺书</w:t>
      </w:r>
    </w:p>
    <w:p>
      <w:pPr>
        <w:spacing w:line="440" w:lineRule="exact"/>
        <w:ind w:left="3" w:leftChars="1" w:firstLine="480" w:firstLineChars="200"/>
        <w:jc w:val="center"/>
        <w:rPr>
          <w:szCs w:val="28"/>
        </w:rPr>
      </w:pPr>
      <w:r>
        <w:rPr>
          <w:rFonts w:hint="eastAsia"/>
          <w:bCs/>
          <w:sz w:val="24"/>
        </w:rPr>
        <w:t>（内容自行拟定）</w:t>
      </w:r>
    </w:p>
    <w:p>
      <w:pPr>
        <w:widowControl/>
        <w:jc w:val="left"/>
        <w:rPr>
          <w:szCs w:val="28"/>
        </w:rPr>
      </w:pPr>
      <w:r>
        <w:rPr>
          <w:szCs w:val="28"/>
        </w:rPr>
        <w:br w:type="page"/>
      </w:r>
    </w:p>
    <w:p>
      <w:pPr>
        <w:spacing w:line="440" w:lineRule="exact"/>
        <w:rPr>
          <w:bCs/>
          <w:sz w:val="24"/>
        </w:rPr>
      </w:pPr>
      <w:r>
        <w:rPr>
          <w:bCs/>
          <w:sz w:val="24"/>
        </w:rPr>
        <w:t>附件</w:t>
      </w:r>
      <w:r>
        <w:rPr>
          <w:rFonts w:hint="eastAsia"/>
          <w:bCs/>
          <w:sz w:val="24"/>
        </w:rPr>
        <w:t>10</w:t>
      </w: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具备履行合同所必需的设备和专业技术能力的书面承诺书</w:t>
      </w:r>
    </w:p>
    <w:p>
      <w:pPr>
        <w:widowControl/>
        <w:jc w:val="center"/>
        <w:rPr>
          <w:sz w:val="24"/>
        </w:rPr>
      </w:pPr>
      <w:r>
        <w:rPr>
          <w:rFonts w:hint="eastAsia"/>
          <w:bCs/>
          <w:sz w:val="24"/>
        </w:rPr>
        <w:t>（内容自行拟定）</w:t>
      </w:r>
      <w:r>
        <w:rPr>
          <w:sz w:val="24"/>
        </w:rPr>
        <w:br w:type="page"/>
      </w:r>
    </w:p>
    <w:p>
      <w:pPr>
        <w:spacing w:before="156" w:beforeLines="50" w:after="312" w:afterLines="100"/>
        <w:rPr>
          <w:bCs/>
          <w:sz w:val="24"/>
        </w:rPr>
      </w:pPr>
      <w:r>
        <w:rPr>
          <w:bCs/>
          <w:sz w:val="24"/>
        </w:rPr>
        <w:t>附件1</w:t>
      </w:r>
      <w:r>
        <w:rPr>
          <w:rFonts w:hint="eastAsia"/>
          <w:bCs/>
          <w:sz w:val="24"/>
        </w:rPr>
        <w:t>1</w:t>
      </w:r>
    </w:p>
    <w:p>
      <w:pPr>
        <w:spacing w:line="440" w:lineRule="exact"/>
        <w:jc w:val="center"/>
        <w:rPr>
          <w:rFonts w:ascii="宋体" w:hAnsi="宋体"/>
          <w:bCs/>
          <w:sz w:val="32"/>
          <w:szCs w:val="32"/>
        </w:rPr>
      </w:pPr>
      <w:r>
        <w:rPr>
          <w:rFonts w:hint="eastAsia" w:ascii="宋体" w:hAnsi="宋体"/>
          <w:bCs/>
          <w:sz w:val="32"/>
          <w:szCs w:val="32"/>
        </w:rPr>
        <w:t>参加政府采购活动前3年内在经营活动中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500" w:lineRule="exact"/>
        <w:jc w:val="center"/>
        <w:rPr>
          <w:rFonts w:eastAsiaTheme="majorEastAsia"/>
          <w:bCs/>
          <w:sz w:val="32"/>
          <w:szCs w:val="32"/>
        </w:rPr>
      </w:pPr>
      <w:r>
        <w:rPr>
          <w:rFonts w:hint="eastAsia" w:ascii="宋体" w:hAnsi="宋体"/>
          <w:sz w:val="24"/>
        </w:rPr>
        <w:t>（</w:t>
      </w:r>
      <w:r>
        <w:rPr>
          <w:rFonts w:hint="eastAsia"/>
          <w:bCs/>
          <w:sz w:val="24"/>
        </w:rPr>
        <w:t>内容自行拟定</w:t>
      </w:r>
      <w:r>
        <w:rPr>
          <w:rFonts w:hint="eastAsia" w:ascii="宋体" w:hAnsi="宋体"/>
          <w:sz w:val="24"/>
        </w:rPr>
        <w:t>）</w:t>
      </w:r>
    </w:p>
    <w:p>
      <w:pPr>
        <w:widowControl/>
        <w:jc w:val="left"/>
        <w:rPr>
          <w:rFonts w:eastAsiaTheme="majorEastAsia"/>
          <w:bCs/>
          <w:sz w:val="32"/>
          <w:szCs w:val="32"/>
        </w:rPr>
      </w:pPr>
      <w:r>
        <w:rPr>
          <w:rFonts w:eastAsiaTheme="majorEastAsia"/>
          <w:bCs/>
          <w:sz w:val="32"/>
          <w:szCs w:val="32"/>
        </w:rPr>
        <w:br w:type="page"/>
      </w:r>
    </w:p>
    <w:p>
      <w:pPr>
        <w:widowControl/>
        <w:jc w:val="left"/>
        <w:rPr>
          <w:sz w:val="32"/>
          <w:szCs w:val="32"/>
        </w:rPr>
      </w:pPr>
      <w:r>
        <w:rPr>
          <w:bCs/>
          <w:sz w:val="24"/>
        </w:rPr>
        <w:t>附件1</w:t>
      </w:r>
      <w:r>
        <w:rPr>
          <w:rFonts w:hint="eastAsia"/>
          <w:bCs/>
          <w:sz w:val="24"/>
        </w:rPr>
        <w:t>2</w:t>
      </w:r>
    </w:p>
    <w:p>
      <w:pPr>
        <w:adjustRightInd w:val="0"/>
        <w:snapToGrid w:val="0"/>
        <w:jc w:val="center"/>
        <w:outlineLvl w:val="0"/>
        <w:rPr>
          <w:sz w:val="32"/>
          <w:szCs w:val="32"/>
        </w:rPr>
      </w:pPr>
    </w:p>
    <w:p>
      <w:pPr>
        <w:spacing w:line="440" w:lineRule="exact"/>
        <w:jc w:val="center"/>
        <w:rPr>
          <w:rFonts w:ascii="宋体" w:hAnsi="宋体"/>
          <w:bCs/>
          <w:sz w:val="32"/>
          <w:szCs w:val="32"/>
        </w:rPr>
      </w:pPr>
      <w:r>
        <w:rPr>
          <w:rFonts w:hint="eastAsia" w:ascii="宋体" w:hAnsi="宋体"/>
          <w:bCs/>
          <w:sz w:val="32"/>
          <w:szCs w:val="32"/>
        </w:rPr>
        <w:t>未被列入“信用中国”网站（www.creditchina.gov.cn）失信被执行人和重大税收违法案件当事人名单以及“中国政府采购网”(www.ccgp.gov.cn)的政府采购严重违法失信行为记录名单的网页打印件</w:t>
      </w:r>
    </w:p>
    <w:p>
      <w:pPr>
        <w:spacing w:line="440" w:lineRule="exact"/>
        <w:jc w:val="center"/>
        <w:rPr>
          <w:rFonts w:ascii="宋体" w:hAnsi="宋体"/>
          <w:sz w:val="24"/>
        </w:rPr>
      </w:pPr>
    </w:p>
    <w:p>
      <w:pPr>
        <w:spacing w:line="440" w:lineRule="exact"/>
      </w:pPr>
    </w:p>
    <w:p>
      <w:pPr>
        <w:spacing w:before="156" w:beforeLines="50" w:after="312" w:afterLines="100"/>
      </w:pPr>
    </w:p>
    <w:p>
      <w:pPr>
        <w:spacing w:before="156" w:beforeLines="50" w:after="312" w:afterLines="100"/>
      </w:pPr>
    </w:p>
    <w:p>
      <w:pPr>
        <w:widowControl/>
        <w:jc w:val="left"/>
      </w:pPr>
      <w:r>
        <w:br w:type="page"/>
      </w:r>
    </w:p>
    <w:p>
      <w:pPr>
        <w:jc w:val="left"/>
        <w:rPr>
          <w:rFonts w:cs="宋体"/>
          <w:sz w:val="24"/>
        </w:rPr>
      </w:pPr>
      <w:r>
        <w:rPr>
          <w:rFonts w:hint="eastAsia" w:cs="宋体"/>
          <w:sz w:val="24"/>
        </w:rPr>
        <w:t>附件13</w:t>
      </w:r>
    </w:p>
    <w:p>
      <w:pPr>
        <w:rPr>
          <w:sz w:val="24"/>
        </w:rPr>
      </w:pPr>
    </w:p>
    <w:p>
      <w:pPr>
        <w:spacing w:line="440" w:lineRule="exact"/>
        <w:jc w:val="center"/>
        <w:rPr>
          <w:b/>
          <w:bCs/>
          <w:sz w:val="32"/>
          <w:szCs w:val="32"/>
        </w:rPr>
      </w:pPr>
      <w:r>
        <w:rPr>
          <w:b/>
          <w:bCs/>
          <w:sz w:val="32"/>
          <w:szCs w:val="32"/>
        </w:rPr>
        <w:t>中小企业声明函（货物）</w:t>
      </w:r>
    </w:p>
    <w:p>
      <w:pPr>
        <w:spacing w:line="440" w:lineRule="exact"/>
        <w:rPr>
          <w:sz w:val="24"/>
        </w:rPr>
      </w:pPr>
    </w:p>
    <w:p>
      <w:pPr>
        <w:spacing w:line="440" w:lineRule="exact"/>
        <w:ind w:firstLine="480" w:firstLineChars="200"/>
        <w:rPr>
          <w:sz w:val="24"/>
        </w:rPr>
      </w:pPr>
      <w:r>
        <w:rPr>
          <w:sz w:val="24"/>
        </w:rPr>
        <w:t>本公司（联合体）郑重声明，根据《政府采购促进中小企业发展管理办法》（财库﹝2020﹞46号）的规定，本公司（联合体）参加</w:t>
      </w:r>
      <w:r>
        <w:rPr>
          <w:i/>
          <w:iCs/>
          <w:sz w:val="24"/>
          <w:u w:val="single"/>
        </w:rPr>
        <w:t xml:space="preserve"> （单位名称） </w:t>
      </w:r>
      <w:r>
        <w:rPr>
          <w:sz w:val="24"/>
        </w:rPr>
        <w:t xml:space="preserve">的 </w:t>
      </w:r>
      <w:r>
        <w:rPr>
          <w:i/>
          <w:iCs/>
          <w:sz w:val="24"/>
          <w:u w:val="single"/>
        </w:rPr>
        <w:t xml:space="preserve">（项目名称） </w:t>
      </w:r>
      <w:r>
        <w:rPr>
          <w:sz w:val="24"/>
        </w:rPr>
        <w:t>采购活动，提供的货物全部由符合政策要求的中小企业制造。相关企业（含联合体中的中小企业、签订分包意向协议的中小企业）的具体情况如下：</w:t>
      </w:r>
    </w:p>
    <w:p>
      <w:pPr>
        <w:spacing w:line="440" w:lineRule="exact"/>
        <w:ind w:firstLine="480" w:firstLineChars="200"/>
        <w:rPr>
          <w:sz w:val="24"/>
        </w:rPr>
      </w:pPr>
      <w:r>
        <w:rPr>
          <w:sz w:val="24"/>
        </w:rPr>
        <w:t xml:space="preserve">1. </w:t>
      </w:r>
      <w:r>
        <w:rPr>
          <w:i/>
          <w:iCs/>
          <w:sz w:val="24"/>
          <w:u w:val="single"/>
        </w:rPr>
        <w:t>（标的名称）</w:t>
      </w:r>
      <w:r>
        <w:rPr>
          <w:sz w:val="24"/>
        </w:rPr>
        <w:t xml:space="preserve"> ，属于</w:t>
      </w:r>
      <w:r>
        <w:rPr>
          <w:i/>
          <w:iCs/>
          <w:sz w:val="24"/>
          <w:u w:val="single"/>
        </w:rPr>
        <w:t xml:space="preserve"> （采购文件中明确的所属行业）</w:t>
      </w:r>
      <w:r>
        <w:rPr>
          <w:sz w:val="24"/>
        </w:rPr>
        <w:t xml:space="preserve">行业 ；制造商为 </w:t>
      </w:r>
      <w:r>
        <w:rPr>
          <w:i/>
          <w:iCs/>
          <w:sz w:val="24"/>
          <w:u w:val="single"/>
        </w:rPr>
        <w:t>（企业名称）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w:t>
      </w:r>
      <w:r>
        <w:rPr>
          <w:rFonts w:eastAsia="华文楷体"/>
          <w:sz w:val="24"/>
        </w:rPr>
        <w:t>从业人员、营业收入、资产总额填报上一年度数据，无上一年度数据的新成立企业可不填报</w:t>
      </w:r>
      <w:r>
        <w:rPr>
          <w:sz w:val="24"/>
        </w:rPr>
        <w:t xml:space="preserve">），属于 </w:t>
      </w:r>
      <w:r>
        <w:rPr>
          <w:i/>
          <w:iCs/>
          <w:sz w:val="24"/>
          <w:u w:val="single"/>
        </w:rPr>
        <w:t xml:space="preserve">（中型企业、小型企业、微型企业） </w:t>
      </w:r>
      <w:r>
        <w:rPr>
          <w:sz w:val="24"/>
        </w:rPr>
        <w:t>；</w:t>
      </w:r>
    </w:p>
    <w:p>
      <w:pPr>
        <w:spacing w:line="440" w:lineRule="exact"/>
        <w:ind w:firstLine="480" w:firstLineChars="200"/>
        <w:rPr>
          <w:sz w:val="24"/>
        </w:rPr>
      </w:pPr>
      <w:r>
        <w:rPr>
          <w:sz w:val="24"/>
        </w:rPr>
        <w:t xml:space="preserve">2. </w:t>
      </w:r>
      <w:r>
        <w:rPr>
          <w:i/>
          <w:iCs/>
          <w:sz w:val="24"/>
          <w:u w:val="single"/>
        </w:rPr>
        <w:t>（标的名称）</w:t>
      </w:r>
      <w:r>
        <w:rPr>
          <w:sz w:val="24"/>
        </w:rPr>
        <w:t xml:space="preserve"> ，属于 </w:t>
      </w:r>
      <w:r>
        <w:rPr>
          <w:i/>
          <w:iCs/>
          <w:sz w:val="24"/>
          <w:u w:val="single"/>
        </w:rPr>
        <w:t>（采购文件中明确的所属行业）</w:t>
      </w:r>
      <w:r>
        <w:rPr>
          <w:sz w:val="24"/>
        </w:rPr>
        <w:t xml:space="preserve">行业 ；制造商为 </w:t>
      </w:r>
      <w:r>
        <w:rPr>
          <w:i/>
          <w:iCs/>
          <w:sz w:val="24"/>
          <w:u w:val="single"/>
        </w:rPr>
        <w:t>（企业名称）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i/>
          <w:iCs/>
          <w:sz w:val="24"/>
          <w:u w:val="single"/>
        </w:rPr>
        <w:t xml:space="preserve"> （中型企业、小型企业、微型企业）</w:t>
      </w:r>
      <w:r>
        <w:rPr>
          <w:sz w:val="24"/>
        </w:rPr>
        <w:t xml:space="preserve"> ；</w:t>
      </w:r>
    </w:p>
    <w:p>
      <w:pPr>
        <w:spacing w:line="440" w:lineRule="exact"/>
        <w:ind w:firstLine="480" w:firstLineChars="200"/>
        <w:rPr>
          <w:sz w:val="24"/>
        </w:rPr>
      </w:pPr>
      <w:r>
        <w:rPr>
          <w:sz w:val="24"/>
        </w:rPr>
        <w:t>……</w:t>
      </w:r>
    </w:p>
    <w:p>
      <w:pPr>
        <w:spacing w:line="440" w:lineRule="exact"/>
        <w:ind w:firstLine="480" w:firstLineChars="200"/>
        <w:rPr>
          <w:sz w:val="24"/>
        </w:rPr>
      </w:pPr>
      <w:r>
        <w:rPr>
          <w:sz w:val="24"/>
        </w:rPr>
        <w:t>以上企业，不属于大企业的分支机构，不存在控股股东为大企业的情形，也不存在与大企业的负责人为同一人的情形。</w:t>
      </w:r>
    </w:p>
    <w:p>
      <w:pPr>
        <w:spacing w:line="440" w:lineRule="exact"/>
        <w:ind w:firstLine="480" w:firstLineChars="200"/>
        <w:rPr>
          <w:sz w:val="24"/>
        </w:rPr>
      </w:pPr>
      <w:r>
        <w:rPr>
          <w:sz w:val="24"/>
        </w:rPr>
        <w:t>本企业对上述声明内容的真实性负责。如有虚假，将依法承担相应责任。</w:t>
      </w:r>
    </w:p>
    <w:p>
      <w:pPr>
        <w:spacing w:line="440" w:lineRule="exact"/>
        <w:ind w:firstLine="3840" w:firstLineChars="1600"/>
        <w:rPr>
          <w:sz w:val="24"/>
        </w:rPr>
      </w:pPr>
    </w:p>
    <w:p>
      <w:pPr>
        <w:spacing w:line="440" w:lineRule="exact"/>
        <w:ind w:firstLine="3840" w:firstLineChars="1600"/>
        <w:rPr>
          <w:sz w:val="24"/>
        </w:rPr>
      </w:pPr>
      <w:r>
        <w:rPr>
          <w:sz w:val="24"/>
        </w:rPr>
        <w:t>企业名称（盖章）：</w:t>
      </w:r>
    </w:p>
    <w:p>
      <w:pPr>
        <w:spacing w:line="440" w:lineRule="exact"/>
        <w:ind w:firstLine="3840" w:firstLineChars="1600"/>
        <w:rPr>
          <w:sz w:val="24"/>
        </w:rPr>
      </w:pPr>
      <w:r>
        <w:rPr>
          <w:sz w:val="24"/>
        </w:rPr>
        <w:t>日 期：</w:t>
      </w:r>
    </w:p>
    <w:p>
      <w:pPr>
        <w:rPr>
          <w:sz w:val="24"/>
        </w:rPr>
      </w:pPr>
      <w:r>
        <w:rPr>
          <w:sz w:val="24"/>
        </w:rPr>
        <w:br w:type="page"/>
      </w:r>
    </w:p>
    <w:p>
      <w:pPr>
        <w:spacing w:line="440" w:lineRule="exact"/>
        <w:jc w:val="center"/>
        <w:rPr>
          <w:b/>
          <w:bCs/>
          <w:sz w:val="32"/>
          <w:szCs w:val="32"/>
        </w:rPr>
      </w:pPr>
      <w:r>
        <w:rPr>
          <w:b/>
          <w:bCs/>
          <w:sz w:val="32"/>
          <w:szCs w:val="32"/>
        </w:rPr>
        <w:t>中小企业声明函（工程、服务）</w:t>
      </w:r>
    </w:p>
    <w:p>
      <w:pPr>
        <w:spacing w:line="440" w:lineRule="exact"/>
        <w:rPr>
          <w:sz w:val="24"/>
        </w:rPr>
      </w:pPr>
    </w:p>
    <w:p>
      <w:pPr>
        <w:spacing w:line="440" w:lineRule="exact"/>
        <w:ind w:firstLine="480" w:firstLineChars="200"/>
        <w:rPr>
          <w:sz w:val="24"/>
        </w:rPr>
      </w:pPr>
      <w:r>
        <w:rPr>
          <w:sz w:val="24"/>
        </w:rPr>
        <w:t>本公司（联合体）郑重声明，根据《政府采购促进中小企业发展管理办法》（财库﹝2020﹞46 号）的规定，本公司（联合体）参加</w:t>
      </w:r>
      <w:r>
        <w:rPr>
          <w:i/>
          <w:iCs/>
          <w:sz w:val="24"/>
          <w:u w:val="single"/>
        </w:rPr>
        <w:t xml:space="preserve"> （单位名称） </w:t>
      </w:r>
      <w:r>
        <w:rPr>
          <w:sz w:val="24"/>
        </w:rPr>
        <w:t xml:space="preserve">的 </w:t>
      </w:r>
      <w:r>
        <w:rPr>
          <w:i/>
          <w:iCs/>
          <w:sz w:val="24"/>
          <w:u w:val="single"/>
        </w:rPr>
        <w:t xml:space="preserve">（项目名称） </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sz w:val="24"/>
        </w:rPr>
      </w:pPr>
      <w:r>
        <w:rPr>
          <w:sz w:val="24"/>
        </w:rPr>
        <w:t xml:space="preserve">1. </w:t>
      </w:r>
      <w:r>
        <w:rPr>
          <w:i/>
          <w:iCs/>
          <w:sz w:val="24"/>
          <w:u w:val="single"/>
        </w:rPr>
        <w:t>（标的名称）</w:t>
      </w:r>
      <w:r>
        <w:rPr>
          <w:sz w:val="24"/>
        </w:rPr>
        <w:t xml:space="preserve"> ，属于</w:t>
      </w:r>
      <w:r>
        <w:rPr>
          <w:i/>
          <w:iCs/>
          <w:sz w:val="24"/>
          <w:u w:val="single"/>
        </w:rPr>
        <w:t xml:space="preserve"> （采购文件中明确的所属行业）</w:t>
      </w:r>
      <w:r>
        <w:rPr>
          <w:sz w:val="24"/>
        </w:rPr>
        <w:t xml:space="preserve"> ；承建（承接）企业为</w:t>
      </w:r>
      <w:r>
        <w:rPr>
          <w:i/>
          <w:iCs/>
          <w:sz w:val="24"/>
          <w:u w:val="single"/>
        </w:rPr>
        <w:t xml:space="preserve"> （企业名称）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w:t>
      </w:r>
      <w:r>
        <w:rPr>
          <w:rFonts w:eastAsia="华文楷体"/>
          <w:sz w:val="24"/>
        </w:rPr>
        <w:t>从业人员、营业收入、资产总额填报上一年度数据，无上一年度数据的新成立企业可不填报</w:t>
      </w:r>
      <w:r>
        <w:rPr>
          <w:sz w:val="24"/>
        </w:rPr>
        <w:t>），属于</w:t>
      </w:r>
      <w:r>
        <w:rPr>
          <w:i/>
          <w:iCs/>
          <w:sz w:val="24"/>
          <w:u w:val="single"/>
        </w:rPr>
        <w:t xml:space="preserve"> （中型企业、小型企业、微型企业）</w:t>
      </w:r>
      <w:r>
        <w:rPr>
          <w:sz w:val="24"/>
        </w:rPr>
        <w:t xml:space="preserve"> ；</w:t>
      </w:r>
    </w:p>
    <w:p>
      <w:pPr>
        <w:spacing w:line="440" w:lineRule="exact"/>
        <w:ind w:firstLine="480" w:firstLineChars="200"/>
        <w:rPr>
          <w:sz w:val="24"/>
        </w:rPr>
      </w:pPr>
      <w:r>
        <w:rPr>
          <w:sz w:val="24"/>
        </w:rPr>
        <w:t xml:space="preserve">2. </w:t>
      </w:r>
      <w:r>
        <w:rPr>
          <w:i/>
          <w:iCs/>
          <w:sz w:val="24"/>
          <w:u w:val="single"/>
        </w:rPr>
        <w:t xml:space="preserve">（标的名称） </w:t>
      </w:r>
      <w:r>
        <w:rPr>
          <w:sz w:val="24"/>
        </w:rPr>
        <w:t>，属于</w:t>
      </w:r>
      <w:r>
        <w:rPr>
          <w:i/>
          <w:iCs/>
          <w:sz w:val="24"/>
          <w:u w:val="single"/>
        </w:rPr>
        <w:t xml:space="preserve"> （采购文件中明确的所属行业）</w:t>
      </w:r>
      <w:r>
        <w:rPr>
          <w:sz w:val="24"/>
        </w:rPr>
        <w:t xml:space="preserve"> ；承建（承接）企业为 </w:t>
      </w:r>
      <w:r>
        <w:rPr>
          <w:i/>
          <w:iCs/>
          <w:sz w:val="24"/>
          <w:u w:val="single"/>
        </w:rPr>
        <w:t>（企业名称）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 xml:space="preserve">万元，属于 </w:t>
      </w:r>
      <w:r>
        <w:rPr>
          <w:i/>
          <w:iCs/>
          <w:sz w:val="24"/>
          <w:u w:val="single"/>
        </w:rPr>
        <w:t>（中型企业、小型企业、微型企业）</w:t>
      </w:r>
      <w:r>
        <w:rPr>
          <w:sz w:val="24"/>
        </w:rPr>
        <w:t xml:space="preserve"> ；</w:t>
      </w:r>
    </w:p>
    <w:p>
      <w:pPr>
        <w:spacing w:line="440" w:lineRule="exact"/>
        <w:ind w:firstLine="480" w:firstLineChars="200"/>
        <w:rPr>
          <w:sz w:val="24"/>
        </w:rPr>
      </w:pPr>
      <w:r>
        <w:rPr>
          <w:sz w:val="24"/>
        </w:rPr>
        <w:t>……</w:t>
      </w:r>
    </w:p>
    <w:p>
      <w:pPr>
        <w:spacing w:line="440" w:lineRule="exact"/>
        <w:ind w:firstLine="480" w:firstLineChars="200"/>
        <w:rPr>
          <w:sz w:val="24"/>
        </w:rPr>
      </w:pPr>
      <w:r>
        <w:rPr>
          <w:sz w:val="24"/>
        </w:rPr>
        <w:t>以上企业，不属于大企业的分支机构，不存在控股股东为大企业的情形，也不存在与大企业的负责人为同一人的情形。</w:t>
      </w:r>
    </w:p>
    <w:p>
      <w:pPr>
        <w:spacing w:line="440" w:lineRule="exact"/>
        <w:ind w:firstLine="480" w:firstLineChars="200"/>
        <w:rPr>
          <w:sz w:val="24"/>
        </w:rPr>
      </w:pPr>
      <w:r>
        <w:rPr>
          <w:sz w:val="24"/>
        </w:rPr>
        <w:t>本企业对上述声明内容的真实性负责。如有虚假，将依法承担相应责任。</w:t>
      </w:r>
    </w:p>
    <w:p>
      <w:pPr>
        <w:spacing w:line="440" w:lineRule="exact"/>
        <w:ind w:firstLine="4080" w:firstLineChars="1700"/>
        <w:rPr>
          <w:sz w:val="24"/>
        </w:rPr>
      </w:pPr>
    </w:p>
    <w:p>
      <w:pPr>
        <w:spacing w:line="440" w:lineRule="exact"/>
        <w:ind w:firstLine="4080" w:firstLineChars="1700"/>
        <w:rPr>
          <w:sz w:val="24"/>
        </w:rPr>
      </w:pPr>
      <w:r>
        <w:rPr>
          <w:sz w:val="24"/>
        </w:rPr>
        <w:t>企业名称（盖章）：</w:t>
      </w:r>
    </w:p>
    <w:p>
      <w:pPr>
        <w:pStyle w:val="2"/>
        <w:ind w:firstLine="4080" w:firstLineChars="1700"/>
      </w:pPr>
      <w:r>
        <w:t>日 期：</w:t>
      </w:r>
    </w:p>
    <w:p>
      <w:pPr>
        <w:spacing w:line="440" w:lineRule="exact"/>
        <w:rPr>
          <w:sz w:val="24"/>
        </w:rPr>
      </w:pPr>
    </w:p>
    <w:p>
      <w:pPr>
        <w:rPr>
          <w:sz w:val="24"/>
        </w:rPr>
      </w:pPr>
      <w:r>
        <w:rPr>
          <w:sz w:val="24"/>
        </w:rPr>
        <w:br w:type="page"/>
      </w:r>
    </w:p>
    <w:p>
      <w:pPr>
        <w:spacing w:line="360" w:lineRule="auto"/>
        <w:ind w:firstLine="480" w:firstLineChars="200"/>
        <w:rPr>
          <w:rFonts w:asciiTheme="majorEastAsia" w:hAnsiTheme="majorEastAsia" w:eastAsiaTheme="majorEastAsia"/>
          <w:sz w:val="24"/>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7"/>
        <w:tblW w:w="5000" w:type="pct"/>
        <w:tblInd w:w="0" w:type="dxa"/>
        <w:tblLayout w:type="fixed"/>
        <w:tblCellMar>
          <w:top w:w="0" w:type="dxa"/>
          <w:left w:w="108" w:type="dxa"/>
          <w:bottom w:w="0" w:type="dxa"/>
          <w:right w:w="108" w:type="dxa"/>
        </w:tblCellMar>
      </w:tblPr>
      <w:tblGrid>
        <w:gridCol w:w="425"/>
        <w:gridCol w:w="1386"/>
        <w:gridCol w:w="924"/>
        <w:gridCol w:w="916"/>
        <w:gridCol w:w="1083"/>
        <w:gridCol w:w="990"/>
        <w:gridCol w:w="904"/>
        <w:gridCol w:w="1100"/>
        <w:gridCol w:w="1058"/>
        <w:gridCol w:w="955"/>
        <w:gridCol w:w="1163"/>
        <w:gridCol w:w="1058"/>
        <w:gridCol w:w="1193"/>
        <w:gridCol w:w="1020"/>
      </w:tblGrid>
      <w:tr>
        <w:trPr>
          <w:trHeight w:val="416" w:hRule="atLeast"/>
          <w:tblHeader/>
        </w:trPr>
        <w:tc>
          <w:tcPr>
            <w:tcW w:w="15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489" w:type="pct"/>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1031"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10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112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115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rPr>
          <w:trHeight w:val="226" w:hRule="atLeast"/>
          <w:tblHeader/>
        </w:trPr>
        <w:tc>
          <w:tcPr>
            <w:tcW w:w="150"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p>
        </w:tc>
        <w:tc>
          <w:tcPr>
            <w:tcW w:w="489" w:type="pct"/>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rPr>
          <w:trHeight w:val="64" w:hRule="atLeast"/>
        </w:trPr>
        <w:tc>
          <w:tcPr>
            <w:tcW w:w="1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48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32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421"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r>
        <w:rPr>
          <w:rFonts w:hint="eastAsia"/>
          <w:sz w:val="24"/>
        </w:rPr>
        <w:t>附件14</w:t>
      </w:r>
    </w:p>
    <w:p>
      <w:pPr>
        <w:spacing w:line="588" w:lineRule="exact"/>
        <w:ind w:firstLine="667"/>
        <w:jc w:val="center"/>
        <w:rPr>
          <w:rFonts w:asciiTheme="majorEastAsia" w:hAnsiTheme="majorEastAsia" w:eastAsiaTheme="majorEastAsia"/>
          <w:b/>
          <w:spacing w:val="6"/>
          <w:sz w:val="32"/>
          <w:szCs w:val="32"/>
        </w:rPr>
      </w:pPr>
      <w:bookmarkStart w:id="33" w:name="OLE_LINK13"/>
      <w:bookmarkStart w:id="34" w:name="OLE_LINK14"/>
      <w:r>
        <w:rPr>
          <w:rFonts w:asciiTheme="majorEastAsia" w:hAnsiTheme="majorEastAsia" w:eastAsiaTheme="majorEastAsia"/>
          <w:b/>
          <w:spacing w:val="6"/>
          <w:sz w:val="32"/>
          <w:szCs w:val="32"/>
        </w:rPr>
        <w:t>残疾人福利性单位声明函</w:t>
      </w:r>
    </w:p>
    <w:bookmarkEnd w:id="33"/>
    <w:bookmarkEnd w:id="34"/>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日  期：</w:t>
      </w:r>
    </w:p>
    <w:p>
      <w:pPr>
        <w:widowControl/>
        <w:jc w:val="left"/>
        <w:rPr>
          <w:rFonts w:ascii="宋体" w:hAnsi="宋体"/>
          <w:bCs/>
          <w:sz w:val="32"/>
          <w:szCs w:val="32"/>
        </w:rPr>
      </w:pPr>
      <w:r>
        <w:rPr>
          <w:rFonts w:ascii="宋体" w:hAnsi="宋体"/>
          <w:bCs/>
          <w:sz w:val="32"/>
          <w:szCs w:val="32"/>
        </w:rPr>
        <w:br w:type="page"/>
      </w:r>
    </w:p>
    <w:p>
      <w:pPr>
        <w:rPr>
          <w:sz w:val="24"/>
        </w:rPr>
      </w:pPr>
      <w:r>
        <w:rPr>
          <w:rFonts w:hint="eastAsia"/>
          <w:sz w:val="24"/>
        </w:rPr>
        <w:t>附件15</w:t>
      </w:r>
    </w:p>
    <w:p>
      <w:pPr>
        <w:tabs>
          <w:tab w:val="left" w:pos="7665"/>
        </w:tabs>
        <w:spacing w:line="440" w:lineRule="exact"/>
        <w:jc w:val="center"/>
        <w:outlineLvl w:val="1"/>
        <w:rPr>
          <w:rFonts w:ascii="宋体" w:hAnsi="宋体"/>
          <w:bCs/>
          <w:sz w:val="32"/>
          <w:szCs w:val="32"/>
        </w:rPr>
      </w:pPr>
      <w:r>
        <w:rPr>
          <w:rFonts w:hint="eastAsia" w:ascii="宋体" w:hAnsi="宋体"/>
          <w:bCs/>
          <w:sz w:val="32"/>
          <w:szCs w:val="32"/>
        </w:rPr>
        <w:t>省级以上监狱管理局、戒毒管理局（含新疆生产建设兵团）出具的属于监狱企业的证明文件</w:t>
      </w:r>
      <w:r>
        <w:rPr>
          <w:rFonts w:hint="eastAsia" w:ascii="宋体" w:hAnsi="宋体"/>
          <w:bCs/>
          <w:sz w:val="32"/>
          <w:szCs w:val="32"/>
        </w:rPr>
        <w:br w:type="textWrapping"/>
      </w:r>
      <w:r>
        <w:rPr>
          <w:rFonts w:ascii="宋体" w:hAnsi="宋体"/>
          <w:bCs/>
          <w:sz w:val="32"/>
          <w:szCs w:val="32"/>
        </w:rPr>
        <w:br w:type="textWrapping"/>
      </w:r>
    </w:p>
    <w:p>
      <w:pPr>
        <w:widowControl/>
        <w:jc w:val="left"/>
        <w:rPr>
          <w:rFonts w:ascii="宋体" w:hAnsi="宋体"/>
          <w:bCs/>
          <w:sz w:val="32"/>
          <w:szCs w:val="32"/>
        </w:rPr>
      </w:pPr>
      <w:r>
        <w:rPr>
          <w:rFonts w:ascii="宋体" w:hAnsi="宋体"/>
          <w:bCs/>
          <w:sz w:val="32"/>
          <w:szCs w:val="32"/>
        </w:rPr>
        <w:br w:type="page"/>
      </w:r>
    </w:p>
    <w:p>
      <w:pPr>
        <w:tabs>
          <w:tab w:val="left" w:pos="7665"/>
        </w:tabs>
        <w:jc w:val="center"/>
        <w:outlineLvl w:val="1"/>
        <w:rPr>
          <w:rFonts w:ascii="宋体" w:hAnsi="宋体"/>
          <w:bCs/>
          <w:sz w:val="32"/>
          <w:szCs w:val="32"/>
        </w:rPr>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pPr>
    </w:p>
    <w:sectPr>
      <w:headerReference r:id="rId9" w:type="default"/>
      <w:footerReference r:id="rId10" w:type="default"/>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aiti SC">
    <w:panose1 w:val="02010600040101010101"/>
    <w:charset w:val="86"/>
    <w:family w:val="auto"/>
    <w:pitch w:val="default"/>
    <w:sig w:usb0="00000000" w:usb1="00000000" w:usb2="00000000" w:usb3="00000000" w:csb0="00160000" w:csb1="00000000"/>
  </w:font>
  <w:font w:name="DejaVu Sans">
    <w:altName w:val="苹方-简"/>
    <w:panose1 w:val="02020603050405020304"/>
    <w:charset w:val="00"/>
    <w:family w:val="roman"/>
    <w:pitch w:val="default"/>
    <w:sig w:usb0="00000000" w:usb1="00000000" w:usb2="00000008" w:usb3="00000000" w:csb0="000001FF" w:csb1="00000000"/>
  </w:font>
  <w:font w:name="苹方-简">
    <w:panose1 w:val="020B04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Heiti SC Light">
    <w:panose1 w:val="02000000000000000000"/>
    <w:charset w:val="50"/>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Noto Sans Mono CJK JP Regular">
    <w:altName w:val="苹方-简"/>
    <w:panose1 w:val="00000000000000000000"/>
    <w:charset w:val="00"/>
    <w:family w:val="swiss"/>
    <w:pitch w:val="default"/>
    <w:sig w:usb0="00000000" w:usb1="00000000" w:usb2="00000000" w:usb3="00000000" w:csb0="00000001"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PMingLiU">
    <w:altName w:val="宋体-繁"/>
    <w:panose1 w:val="02020500000000000000"/>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00000000" w:csb1="00000000"/>
  </w:font>
  <w:font w:name="华文楷体">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PAGE   \* MERGEFORMAT</w:instrText>
    </w:r>
    <w:r>
      <w:fldChar w:fldCharType="separate"/>
    </w:r>
    <w:r>
      <w:rPr>
        <w:lang w:val="zh-CN"/>
      </w:rPr>
      <w:t>22</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60</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EE"/>
    <w:rsid w:val="00003FB8"/>
    <w:rsid w:val="0000450B"/>
    <w:rsid w:val="00005FFD"/>
    <w:rsid w:val="00013AA4"/>
    <w:rsid w:val="00016E0F"/>
    <w:rsid w:val="000177F1"/>
    <w:rsid w:val="0002027D"/>
    <w:rsid w:val="0002385B"/>
    <w:rsid w:val="00024E1A"/>
    <w:rsid w:val="00026127"/>
    <w:rsid w:val="00027B5C"/>
    <w:rsid w:val="000320DE"/>
    <w:rsid w:val="0003255B"/>
    <w:rsid w:val="0003602A"/>
    <w:rsid w:val="0003616F"/>
    <w:rsid w:val="00037800"/>
    <w:rsid w:val="000404A5"/>
    <w:rsid w:val="000443C9"/>
    <w:rsid w:val="0004574B"/>
    <w:rsid w:val="00050568"/>
    <w:rsid w:val="00051E33"/>
    <w:rsid w:val="000524D6"/>
    <w:rsid w:val="000553A8"/>
    <w:rsid w:val="00056A34"/>
    <w:rsid w:val="00061FBF"/>
    <w:rsid w:val="00063AD6"/>
    <w:rsid w:val="00073D57"/>
    <w:rsid w:val="00074DEC"/>
    <w:rsid w:val="000765C9"/>
    <w:rsid w:val="00076BD9"/>
    <w:rsid w:val="000834C2"/>
    <w:rsid w:val="00085928"/>
    <w:rsid w:val="00090415"/>
    <w:rsid w:val="0009057C"/>
    <w:rsid w:val="00095A23"/>
    <w:rsid w:val="00096B95"/>
    <w:rsid w:val="000A0842"/>
    <w:rsid w:val="000A3CC6"/>
    <w:rsid w:val="000A670B"/>
    <w:rsid w:val="000B02CF"/>
    <w:rsid w:val="000B0A9E"/>
    <w:rsid w:val="000B0EF2"/>
    <w:rsid w:val="000B284C"/>
    <w:rsid w:val="000C21EB"/>
    <w:rsid w:val="000C5B15"/>
    <w:rsid w:val="000C6A5C"/>
    <w:rsid w:val="000D059B"/>
    <w:rsid w:val="000D08C6"/>
    <w:rsid w:val="000D1869"/>
    <w:rsid w:val="000D1D0A"/>
    <w:rsid w:val="000D1F1A"/>
    <w:rsid w:val="000D7AC0"/>
    <w:rsid w:val="000E161F"/>
    <w:rsid w:val="000E41DF"/>
    <w:rsid w:val="000E65B8"/>
    <w:rsid w:val="000F5347"/>
    <w:rsid w:val="000F66CC"/>
    <w:rsid w:val="0010105B"/>
    <w:rsid w:val="001014B4"/>
    <w:rsid w:val="001027A4"/>
    <w:rsid w:val="001048F7"/>
    <w:rsid w:val="00107AFB"/>
    <w:rsid w:val="001135E5"/>
    <w:rsid w:val="001139DD"/>
    <w:rsid w:val="00117677"/>
    <w:rsid w:val="0012565C"/>
    <w:rsid w:val="00127FF8"/>
    <w:rsid w:val="00133A4D"/>
    <w:rsid w:val="00136175"/>
    <w:rsid w:val="00136E6E"/>
    <w:rsid w:val="00137ED6"/>
    <w:rsid w:val="001427EF"/>
    <w:rsid w:val="001444FE"/>
    <w:rsid w:val="00147D7B"/>
    <w:rsid w:val="00154588"/>
    <w:rsid w:val="001655DB"/>
    <w:rsid w:val="001657AD"/>
    <w:rsid w:val="0016745A"/>
    <w:rsid w:val="001733E1"/>
    <w:rsid w:val="001749F0"/>
    <w:rsid w:val="001770E0"/>
    <w:rsid w:val="0018521F"/>
    <w:rsid w:val="0018673E"/>
    <w:rsid w:val="00187A58"/>
    <w:rsid w:val="001918E1"/>
    <w:rsid w:val="0019613F"/>
    <w:rsid w:val="001964EC"/>
    <w:rsid w:val="001A0A20"/>
    <w:rsid w:val="001A10D5"/>
    <w:rsid w:val="001A3292"/>
    <w:rsid w:val="001B5E9E"/>
    <w:rsid w:val="001B621E"/>
    <w:rsid w:val="001B797A"/>
    <w:rsid w:val="001C02C9"/>
    <w:rsid w:val="001C2598"/>
    <w:rsid w:val="001C3B1B"/>
    <w:rsid w:val="001C51DC"/>
    <w:rsid w:val="001D06A7"/>
    <w:rsid w:val="001D52B3"/>
    <w:rsid w:val="001D5BAD"/>
    <w:rsid w:val="001E2A67"/>
    <w:rsid w:val="001E365D"/>
    <w:rsid w:val="001E74AF"/>
    <w:rsid w:val="001F0893"/>
    <w:rsid w:val="001F1770"/>
    <w:rsid w:val="001F6EC7"/>
    <w:rsid w:val="00206EAC"/>
    <w:rsid w:val="00210FEF"/>
    <w:rsid w:val="00212BB5"/>
    <w:rsid w:val="00217123"/>
    <w:rsid w:val="0022780A"/>
    <w:rsid w:val="00236A31"/>
    <w:rsid w:val="00236ACA"/>
    <w:rsid w:val="002435BB"/>
    <w:rsid w:val="00265AD9"/>
    <w:rsid w:val="00270F16"/>
    <w:rsid w:val="00271374"/>
    <w:rsid w:val="00285437"/>
    <w:rsid w:val="002964E8"/>
    <w:rsid w:val="002A0016"/>
    <w:rsid w:val="002A094D"/>
    <w:rsid w:val="002A3279"/>
    <w:rsid w:val="002A5A29"/>
    <w:rsid w:val="002A6568"/>
    <w:rsid w:val="002B1D4B"/>
    <w:rsid w:val="002B43FE"/>
    <w:rsid w:val="002B7CD9"/>
    <w:rsid w:val="002D1494"/>
    <w:rsid w:val="002D1FE3"/>
    <w:rsid w:val="002E0E6F"/>
    <w:rsid w:val="002E240C"/>
    <w:rsid w:val="002E27F6"/>
    <w:rsid w:val="002E77B5"/>
    <w:rsid w:val="002F057F"/>
    <w:rsid w:val="002F0B2C"/>
    <w:rsid w:val="002F22C6"/>
    <w:rsid w:val="002F2C4C"/>
    <w:rsid w:val="002F4450"/>
    <w:rsid w:val="00301514"/>
    <w:rsid w:val="003036A3"/>
    <w:rsid w:val="00303C45"/>
    <w:rsid w:val="0030567E"/>
    <w:rsid w:val="003205C5"/>
    <w:rsid w:val="00320F83"/>
    <w:rsid w:val="00322166"/>
    <w:rsid w:val="003233E0"/>
    <w:rsid w:val="003237DC"/>
    <w:rsid w:val="00325561"/>
    <w:rsid w:val="00325910"/>
    <w:rsid w:val="00330AC0"/>
    <w:rsid w:val="003325EE"/>
    <w:rsid w:val="003329D9"/>
    <w:rsid w:val="0033742E"/>
    <w:rsid w:val="00337B01"/>
    <w:rsid w:val="00343CD2"/>
    <w:rsid w:val="00345330"/>
    <w:rsid w:val="0034601D"/>
    <w:rsid w:val="00352077"/>
    <w:rsid w:val="0035211F"/>
    <w:rsid w:val="00365486"/>
    <w:rsid w:val="003663E4"/>
    <w:rsid w:val="003663F4"/>
    <w:rsid w:val="00367552"/>
    <w:rsid w:val="00370D67"/>
    <w:rsid w:val="003778E0"/>
    <w:rsid w:val="003816EC"/>
    <w:rsid w:val="00392CEC"/>
    <w:rsid w:val="003A16BC"/>
    <w:rsid w:val="003A2768"/>
    <w:rsid w:val="003A33A7"/>
    <w:rsid w:val="003A52B1"/>
    <w:rsid w:val="003A7A9A"/>
    <w:rsid w:val="003B7BF3"/>
    <w:rsid w:val="003C4D79"/>
    <w:rsid w:val="003C6C22"/>
    <w:rsid w:val="003D133C"/>
    <w:rsid w:val="003D1501"/>
    <w:rsid w:val="003D56AE"/>
    <w:rsid w:val="003D6B22"/>
    <w:rsid w:val="003E2520"/>
    <w:rsid w:val="003E2994"/>
    <w:rsid w:val="003E2C82"/>
    <w:rsid w:val="003E6441"/>
    <w:rsid w:val="003F12BA"/>
    <w:rsid w:val="003F50DE"/>
    <w:rsid w:val="003F5E3B"/>
    <w:rsid w:val="00402CEB"/>
    <w:rsid w:val="004121CD"/>
    <w:rsid w:val="00426C84"/>
    <w:rsid w:val="00427193"/>
    <w:rsid w:val="00432607"/>
    <w:rsid w:val="00433066"/>
    <w:rsid w:val="00434680"/>
    <w:rsid w:val="00442CB2"/>
    <w:rsid w:val="00454431"/>
    <w:rsid w:val="004601AA"/>
    <w:rsid w:val="00461AA3"/>
    <w:rsid w:val="00462AFE"/>
    <w:rsid w:val="00462CA0"/>
    <w:rsid w:val="00467A55"/>
    <w:rsid w:val="004746E4"/>
    <w:rsid w:val="00482074"/>
    <w:rsid w:val="004832D0"/>
    <w:rsid w:val="004845E2"/>
    <w:rsid w:val="00486AEF"/>
    <w:rsid w:val="00487B68"/>
    <w:rsid w:val="00491219"/>
    <w:rsid w:val="00493214"/>
    <w:rsid w:val="004A4C07"/>
    <w:rsid w:val="004B1581"/>
    <w:rsid w:val="004B30C5"/>
    <w:rsid w:val="004B4641"/>
    <w:rsid w:val="004B673B"/>
    <w:rsid w:val="004B6F6A"/>
    <w:rsid w:val="004C02C9"/>
    <w:rsid w:val="004C38B5"/>
    <w:rsid w:val="004C4C24"/>
    <w:rsid w:val="004C68A6"/>
    <w:rsid w:val="004E01E8"/>
    <w:rsid w:val="004E0CD3"/>
    <w:rsid w:val="004E1174"/>
    <w:rsid w:val="004E1912"/>
    <w:rsid w:val="004E3692"/>
    <w:rsid w:val="004E37DF"/>
    <w:rsid w:val="004E57A6"/>
    <w:rsid w:val="004E7B0A"/>
    <w:rsid w:val="004F12D5"/>
    <w:rsid w:val="004F3F6B"/>
    <w:rsid w:val="004F6151"/>
    <w:rsid w:val="00500398"/>
    <w:rsid w:val="005026A8"/>
    <w:rsid w:val="00506857"/>
    <w:rsid w:val="00525FF3"/>
    <w:rsid w:val="005268C3"/>
    <w:rsid w:val="00526DA4"/>
    <w:rsid w:val="00532121"/>
    <w:rsid w:val="005466BB"/>
    <w:rsid w:val="005467A8"/>
    <w:rsid w:val="00546F17"/>
    <w:rsid w:val="005517EC"/>
    <w:rsid w:val="00553914"/>
    <w:rsid w:val="005569C8"/>
    <w:rsid w:val="005572FD"/>
    <w:rsid w:val="00557D97"/>
    <w:rsid w:val="00560C50"/>
    <w:rsid w:val="00564652"/>
    <w:rsid w:val="00565346"/>
    <w:rsid w:val="005673C8"/>
    <w:rsid w:val="005777EA"/>
    <w:rsid w:val="0058084E"/>
    <w:rsid w:val="005827A2"/>
    <w:rsid w:val="00584BF5"/>
    <w:rsid w:val="0058596B"/>
    <w:rsid w:val="00591FA7"/>
    <w:rsid w:val="00595A41"/>
    <w:rsid w:val="005A0168"/>
    <w:rsid w:val="005A1D9A"/>
    <w:rsid w:val="005A4A9E"/>
    <w:rsid w:val="005A5D61"/>
    <w:rsid w:val="005A6775"/>
    <w:rsid w:val="005B5EBA"/>
    <w:rsid w:val="005C0767"/>
    <w:rsid w:val="005C2A23"/>
    <w:rsid w:val="005C5EEA"/>
    <w:rsid w:val="005D0A3B"/>
    <w:rsid w:val="005D158D"/>
    <w:rsid w:val="005D417E"/>
    <w:rsid w:val="005D4689"/>
    <w:rsid w:val="005D6296"/>
    <w:rsid w:val="005D7A94"/>
    <w:rsid w:val="005E033E"/>
    <w:rsid w:val="005E2017"/>
    <w:rsid w:val="005E26E8"/>
    <w:rsid w:val="005E66E3"/>
    <w:rsid w:val="005F0920"/>
    <w:rsid w:val="005F53E1"/>
    <w:rsid w:val="005F5FAD"/>
    <w:rsid w:val="005F7153"/>
    <w:rsid w:val="00601144"/>
    <w:rsid w:val="006023B6"/>
    <w:rsid w:val="00604DC5"/>
    <w:rsid w:val="006122D0"/>
    <w:rsid w:val="006124B6"/>
    <w:rsid w:val="00613967"/>
    <w:rsid w:val="00613AC2"/>
    <w:rsid w:val="00615533"/>
    <w:rsid w:val="006157DD"/>
    <w:rsid w:val="00617B2D"/>
    <w:rsid w:val="00617B3D"/>
    <w:rsid w:val="00623505"/>
    <w:rsid w:val="00625ADB"/>
    <w:rsid w:val="00631884"/>
    <w:rsid w:val="00635655"/>
    <w:rsid w:val="00636576"/>
    <w:rsid w:val="00641CF1"/>
    <w:rsid w:val="006466AF"/>
    <w:rsid w:val="00646836"/>
    <w:rsid w:val="0065579B"/>
    <w:rsid w:val="00664128"/>
    <w:rsid w:val="0066645A"/>
    <w:rsid w:val="0066685A"/>
    <w:rsid w:val="00666BBB"/>
    <w:rsid w:val="006679CD"/>
    <w:rsid w:val="0067140B"/>
    <w:rsid w:val="00675420"/>
    <w:rsid w:val="0067700A"/>
    <w:rsid w:val="00680C1D"/>
    <w:rsid w:val="00684928"/>
    <w:rsid w:val="006900CB"/>
    <w:rsid w:val="00691AF9"/>
    <w:rsid w:val="00694469"/>
    <w:rsid w:val="006950A7"/>
    <w:rsid w:val="00695E1A"/>
    <w:rsid w:val="006A1281"/>
    <w:rsid w:val="006A573C"/>
    <w:rsid w:val="006B79AF"/>
    <w:rsid w:val="006C02A8"/>
    <w:rsid w:val="006C24F6"/>
    <w:rsid w:val="006C3BB2"/>
    <w:rsid w:val="006C4585"/>
    <w:rsid w:val="006C49EA"/>
    <w:rsid w:val="006D1686"/>
    <w:rsid w:val="006D3F78"/>
    <w:rsid w:val="006D699F"/>
    <w:rsid w:val="006E037A"/>
    <w:rsid w:val="006E0B88"/>
    <w:rsid w:val="006E44BA"/>
    <w:rsid w:val="006E4AD9"/>
    <w:rsid w:val="007120E8"/>
    <w:rsid w:val="0071611D"/>
    <w:rsid w:val="00733253"/>
    <w:rsid w:val="00733635"/>
    <w:rsid w:val="00734792"/>
    <w:rsid w:val="00735246"/>
    <w:rsid w:val="007364C6"/>
    <w:rsid w:val="00737749"/>
    <w:rsid w:val="00740F07"/>
    <w:rsid w:val="00741CFF"/>
    <w:rsid w:val="00742EFA"/>
    <w:rsid w:val="00743C97"/>
    <w:rsid w:val="00744E98"/>
    <w:rsid w:val="0074571A"/>
    <w:rsid w:val="00751368"/>
    <w:rsid w:val="00751D76"/>
    <w:rsid w:val="00754E0A"/>
    <w:rsid w:val="00766B73"/>
    <w:rsid w:val="00776770"/>
    <w:rsid w:val="007838B7"/>
    <w:rsid w:val="00784658"/>
    <w:rsid w:val="00784E0E"/>
    <w:rsid w:val="00786F69"/>
    <w:rsid w:val="0079098A"/>
    <w:rsid w:val="0079176F"/>
    <w:rsid w:val="00794228"/>
    <w:rsid w:val="007A438E"/>
    <w:rsid w:val="007A4516"/>
    <w:rsid w:val="007B56F0"/>
    <w:rsid w:val="007C0B2D"/>
    <w:rsid w:val="007C5316"/>
    <w:rsid w:val="007C67FD"/>
    <w:rsid w:val="007D7E94"/>
    <w:rsid w:val="007E13A0"/>
    <w:rsid w:val="007E173B"/>
    <w:rsid w:val="007E2328"/>
    <w:rsid w:val="007F4882"/>
    <w:rsid w:val="007F5F9E"/>
    <w:rsid w:val="00801764"/>
    <w:rsid w:val="00803AB4"/>
    <w:rsid w:val="0080698E"/>
    <w:rsid w:val="00812748"/>
    <w:rsid w:val="00816E6C"/>
    <w:rsid w:val="00821879"/>
    <w:rsid w:val="00821A26"/>
    <w:rsid w:val="00824951"/>
    <w:rsid w:val="00826866"/>
    <w:rsid w:val="00827A51"/>
    <w:rsid w:val="008300A4"/>
    <w:rsid w:val="00832F19"/>
    <w:rsid w:val="008338A4"/>
    <w:rsid w:val="008338B3"/>
    <w:rsid w:val="00836857"/>
    <w:rsid w:val="00837418"/>
    <w:rsid w:val="008433C2"/>
    <w:rsid w:val="0085010F"/>
    <w:rsid w:val="00855E3F"/>
    <w:rsid w:val="00865EB4"/>
    <w:rsid w:val="00872177"/>
    <w:rsid w:val="00872C3F"/>
    <w:rsid w:val="00873C2F"/>
    <w:rsid w:val="0088104E"/>
    <w:rsid w:val="0089007C"/>
    <w:rsid w:val="00892B2A"/>
    <w:rsid w:val="00897533"/>
    <w:rsid w:val="008A7F29"/>
    <w:rsid w:val="008B2D5E"/>
    <w:rsid w:val="008B36CC"/>
    <w:rsid w:val="008B403B"/>
    <w:rsid w:val="008B41A6"/>
    <w:rsid w:val="008C07DA"/>
    <w:rsid w:val="008C3AAB"/>
    <w:rsid w:val="008C6D19"/>
    <w:rsid w:val="008C78A9"/>
    <w:rsid w:val="008C7EDC"/>
    <w:rsid w:val="008D1085"/>
    <w:rsid w:val="008D310D"/>
    <w:rsid w:val="008D3859"/>
    <w:rsid w:val="008E04D0"/>
    <w:rsid w:val="008E3402"/>
    <w:rsid w:val="008F0366"/>
    <w:rsid w:val="008F289E"/>
    <w:rsid w:val="008F2E73"/>
    <w:rsid w:val="008F5276"/>
    <w:rsid w:val="008F57E8"/>
    <w:rsid w:val="0090777E"/>
    <w:rsid w:val="009079C8"/>
    <w:rsid w:val="00912A90"/>
    <w:rsid w:val="00921D6F"/>
    <w:rsid w:val="009224B9"/>
    <w:rsid w:val="00925A4E"/>
    <w:rsid w:val="00932BED"/>
    <w:rsid w:val="009378C5"/>
    <w:rsid w:val="00945509"/>
    <w:rsid w:val="00945F7B"/>
    <w:rsid w:val="00950E14"/>
    <w:rsid w:val="00953A8E"/>
    <w:rsid w:val="00961C16"/>
    <w:rsid w:val="00962F07"/>
    <w:rsid w:val="00965167"/>
    <w:rsid w:val="00966D20"/>
    <w:rsid w:val="00970D8B"/>
    <w:rsid w:val="00972A7E"/>
    <w:rsid w:val="00974044"/>
    <w:rsid w:val="00982221"/>
    <w:rsid w:val="00983CD0"/>
    <w:rsid w:val="00984E56"/>
    <w:rsid w:val="009875BB"/>
    <w:rsid w:val="009912D2"/>
    <w:rsid w:val="009940D6"/>
    <w:rsid w:val="009946F7"/>
    <w:rsid w:val="009970D6"/>
    <w:rsid w:val="009A0A20"/>
    <w:rsid w:val="009A6BBD"/>
    <w:rsid w:val="009B0A7F"/>
    <w:rsid w:val="009B0ED7"/>
    <w:rsid w:val="009B1CFC"/>
    <w:rsid w:val="009B4240"/>
    <w:rsid w:val="009B434E"/>
    <w:rsid w:val="009C0C5D"/>
    <w:rsid w:val="009C3FE1"/>
    <w:rsid w:val="009C421D"/>
    <w:rsid w:val="009C5142"/>
    <w:rsid w:val="009C695F"/>
    <w:rsid w:val="009D7C8B"/>
    <w:rsid w:val="009E2048"/>
    <w:rsid w:val="009E27BB"/>
    <w:rsid w:val="009F534E"/>
    <w:rsid w:val="009F57DF"/>
    <w:rsid w:val="009F7AC1"/>
    <w:rsid w:val="00A002E4"/>
    <w:rsid w:val="00A00511"/>
    <w:rsid w:val="00A0152C"/>
    <w:rsid w:val="00A016C8"/>
    <w:rsid w:val="00A0398A"/>
    <w:rsid w:val="00A07EEF"/>
    <w:rsid w:val="00A21260"/>
    <w:rsid w:val="00A23E7A"/>
    <w:rsid w:val="00A270CB"/>
    <w:rsid w:val="00A30B98"/>
    <w:rsid w:val="00A323B2"/>
    <w:rsid w:val="00A3361A"/>
    <w:rsid w:val="00A33D32"/>
    <w:rsid w:val="00A401F7"/>
    <w:rsid w:val="00A46728"/>
    <w:rsid w:val="00A50381"/>
    <w:rsid w:val="00A51053"/>
    <w:rsid w:val="00A56502"/>
    <w:rsid w:val="00A57452"/>
    <w:rsid w:val="00A616B7"/>
    <w:rsid w:val="00A61FD6"/>
    <w:rsid w:val="00A62AF0"/>
    <w:rsid w:val="00A71C99"/>
    <w:rsid w:val="00A732AF"/>
    <w:rsid w:val="00A743FB"/>
    <w:rsid w:val="00A76B1E"/>
    <w:rsid w:val="00A77A1C"/>
    <w:rsid w:val="00A81BE9"/>
    <w:rsid w:val="00A900E2"/>
    <w:rsid w:val="00A905EA"/>
    <w:rsid w:val="00A907D4"/>
    <w:rsid w:val="00A95FD2"/>
    <w:rsid w:val="00AA3F89"/>
    <w:rsid w:val="00AA7676"/>
    <w:rsid w:val="00AB1478"/>
    <w:rsid w:val="00AB44F6"/>
    <w:rsid w:val="00AB4B88"/>
    <w:rsid w:val="00AB5E46"/>
    <w:rsid w:val="00AC2841"/>
    <w:rsid w:val="00AC342E"/>
    <w:rsid w:val="00AC691A"/>
    <w:rsid w:val="00AD38BD"/>
    <w:rsid w:val="00AD6705"/>
    <w:rsid w:val="00AE5885"/>
    <w:rsid w:val="00AE69B6"/>
    <w:rsid w:val="00AE7877"/>
    <w:rsid w:val="00AF5576"/>
    <w:rsid w:val="00AF6C96"/>
    <w:rsid w:val="00B018D4"/>
    <w:rsid w:val="00B0636C"/>
    <w:rsid w:val="00B10CEE"/>
    <w:rsid w:val="00B11583"/>
    <w:rsid w:val="00B14395"/>
    <w:rsid w:val="00B15450"/>
    <w:rsid w:val="00B22C0F"/>
    <w:rsid w:val="00B247EE"/>
    <w:rsid w:val="00B255E9"/>
    <w:rsid w:val="00B32A53"/>
    <w:rsid w:val="00B37580"/>
    <w:rsid w:val="00B42733"/>
    <w:rsid w:val="00B427DB"/>
    <w:rsid w:val="00B442BA"/>
    <w:rsid w:val="00B4490C"/>
    <w:rsid w:val="00B46A09"/>
    <w:rsid w:val="00B46B23"/>
    <w:rsid w:val="00B51093"/>
    <w:rsid w:val="00B5126F"/>
    <w:rsid w:val="00B53399"/>
    <w:rsid w:val="00B54E5C"/>
    <w:rsid w:val="00B56A08"/>
    <w:rsid w:val="00B637E4"/>
    <w:rsid w:val="00B658A1"/>
    <w:rsid w:val="00B67617"/>
    <w:rsid w:val="00B67994"/>
    <w:rsid w:val="00B764A0"/>
    <w:rsid w:val="00B87076"/>
    <w:rsid w:val="00B960F2"/>
    <w:rsid w:val="00B97FF0"/>
    <w:rsid w:val="00BA092B"/>
    <w:rsid w:val="00BA6A28"/>
    <w:rsid w:val="00BA6C99"/>
    <w:rsid w:val="00BB09DF"/>
    <w:rsid w:val="00BC0952"/>
    <w:rsid w:val="00BC163F"/>
    <w:rsid w:val="00BC6FB3"/>
    <w:rsid w:val="00BC7360"/>
    <w:rsid w:val="00BD014E"/>
    <w:rsid w:val="00BD04AF"/>
    <w:rsid w:val="00BD2C05"/>
    <w:rsid w:val="00BD35E4"/>
    <w:rsid w:val="00BE09DD"/>
    <w:rsid w:val="00BE5259"/>
    <w:rsid w:val="00BE6DC4"/>
    <w:rsid w:val="00BF2FA9"/>
    <w:rsid w:val="00BF31F4"/>
    <w:rsid w:val="00C016BF"/>
    <w:rsid w:val="00C11B2E"/>
    <w:rsid w:val="00C15367"/>
    <w:rsid w:val="00C27B89"/>
    <w:rsid w:val="00C31708"/>
    <w:rsid w:val="00C440DA"/>
    <w:rsid w:val="00C47BFB"/>
    <w:rsid w:val="00C53AFF"/>
    <w:rsid w:val="00C60A53"/>
    <w:rsid w:val="00C635C3"/>
    <w:rsid w:val="00C63F6C"/>
    <w:rsid w:val="00C77B8A"/>
    <w:rsid w:val="00C8075B"/>
    <w:rsid w:val="00C87726"/>
    <w:rsid w:val="00C904A3"/>
    <w:rsid w:val="00C93A67"/>
    <w:rsid w:val="00C93CBF"/>
    <w:rsid w:val="00C95955"/>
    <w:rsid w:val="00CA1489"/>
    <w:rsid w:val="00CA5F94"/>
    <w:rsid w:val="00CB08C8"/>
    <w:rsid w:val="00CB10F8"/>
    <w:rsid w:val="00CB208D"/>
    <w:rsid w:val="00CB458D"/>
    <w:rsid w:val="00CC0E52"/>
    <w:rsid w:val="00CC384B"/>
    <w:rsid w:val="00CD1FC4"/>
    <w:rsid w:val="00CE3BB2"/>
    <w:rsid w:val="00CE47A6"/>
    <w:rsid w:val="00CE6129"/>
    <w:rsid w:val="00CE6AA9"/>
    <w:rsid w:val="00CE71BA"/>
    <w:rsid w:val="00CF72E8"/>
    <w:rsid w:val="00D01F9A"/>
    <w:rsid w:val="00D02EBB"/>
    <w:rsid w:val="00D12539"/>
    <w:rsid w:val="00D17E82"/>
    <w:rsid w:val="00D20716"/>
    <w:rsid w:val="00D220F1"/>
    <w:rsid w:val="00D235CB"/>
    <w:rsid w:val="00D26685"/>
    <w:rsid w:val="00D36280"/>
    <w:rsid w:val="00D37451"/>
    <w:rsid w:val="00D404AE"/>
    <w:rsid w:val="00D42B2C"/>
    <w:rsid w:val="00D43DA9"/>
    <w:rsid w:val="00D4623C"/>
    <w:rsid w:val="00D46540"/>
    <w:rsid w:val="00D509A3"/>
    <w:rsid w:val="00D5317D"/>
    <w:rsid w:val="00D53242"/>
    <w:rsid w:val="00D53B2D"/>
    <w:rsid w:val="00D56690"/>
    <w:rsid w:val="00D56B5C"/>
    <w:rsid w:val="00D61E11"/>
    <w:rsid w:val="00D71C8E"/>
    <w:rsid w:val="00D74E7D"/>
    <w:rsid w:val="00D84346"/>
    <w:rsid w:val="00D93C3A"/>
    <w:rsid w:val="00D95BF9"/>
    <w:rsid w:val="00DA2EB1"/>
    <w:rsid w:val="00DA5C39"/>
    <w:rsid w:val="00DB2336"/>
    <w:rsid w:val="00DC0115"/>
    <w:rsid w:val="00DC05A5"/>
    <w:rsid w:val="00DC2FAA"/>
    <w:rsid w:val="00DD39E7"/>
    <w:rsid w:val="00DE01BE"/>
    <w:rsid w:val="00DE287A"/>
    <w:rsid w:val="00DE788C"/>
    <w:rsid w:val="00DE7B0C"/>
    <w:rsid w:val="00DE7EAD"/>
    <w:rsid w:val="00DF057A"/>
    <w:rsid w:val="00DF0584"/>
    <w:rsid w:val="00DF06BB"/>
    <w:rsid w:val="00DF0F26"/>
    <w:rsid w:val="00DF1D48"/>
    <w:rsid w:val="00DF5B1E"/>
    <w:rsid w:val="00DF7C2F"/>
    <w:rsid w:val="00E03781"/>
    <w:rsid w:val="00E04346"/>
    <w:rsid w:val="00E226F3"/>
    <w:rsid w:val="00E239AC"/>
    <w:rsid w:val="00E247BE"/>
    <w:rsid w:val="00E24FB2"/>
    <w:rsid w:val="00E26AE8"/>
    <w:rsid w:val="00E321F4"/>
    <w:rsid w:val="00E337A9"/>
    <w:rsid w:val="00E41CBD"/>
    <w:rsid w:val="00E45EBF"/>
    <w:rsid w:val="00E47A7A"/>
    <w:rsid w:val="00E53205"/>
    <w:rsid w:val="00E537DE"/>
    <w:rsid w:val="00E543CD"/>
    <w:rsid w:val="00E70662"/>
    <w:rsid w:val="00E7258D"/>
    <w:rsid w:val="00E84121"/>
    <w:rsid w:val="00E94523"/>
    <w:rsid w:val="00E95725"/>
    <w:rsid w:val="00E9732D"/>
    <w:rsid w:val="00EA1AEA"/>
    <w:rsid w:val="00EA2958"/>
    <w:rsid w:val="00EA3C4A"/>
    <w:rsid w:val="00EA5809"/>
    <w:rsid w:val="00EB07B6"/>
    <w:rsid w:val="00EB39FE"/>
    <w:rsid w:val="00EB5E7B"/>
    <w:rsid w:val="00EB696C"/>
    <w:rsid w:val="00EC0AA5"/>
    <w:rsid w:val="00EC0F25"/>
    <w:rsid w:val="00ED2180"/>
    <w:rsid w:val="00ED3DD9"/>
    <w:rsid w:val="00EE2D0A"/>
    <w:rsid w:val="00EE36EB"/>
    <w:rsid w:val="00EE48A1"/>
    <w:rsid w:val="00EE61CD"/>
    <w:rsid w:val="00EE63B1"/>
    <w:rsid w:val="00EE64E0"/>
    <w:rsid w:val="00EE6F0A"/>
    <w:rsid w:val="00EE75FE"/>
    <w:rsid w:val="00EF028D"/>
    <w:rsid w:val="00EF3523"/>
    <w:rsid w:val="00EF39F0"/>
    <w:rsid w:val="00EF6E19"/>
    <w:rsid w:val="00F00570"/>
    <w:rsid w:val="00F01ACB"/>
    <w:rsid w:val="00F05A17"/>
    <w:rsid w:val="00F12BC1"/>
    <w:rsid w:val="00F1480A"/>
    <w:rsid w:val="00F17176"/>
    <w:rsid w:val="00F21F4C"/>
    <w:rsid w:val="00F23220"/>
    <w:rsid w:val="00F2625B"/>
    <w:rsid w:val="00F307DB"/>
    <w:rsid w:val="00F31CA7"/>
    <w:rsid w:val="00F34045"/>
    <w:rsid w:val="00F35895"/>
    <w:rsid w:val="00F360DA"/>
    <w:rsid w:val="00F404A3"/>
    <w:rsid w:val="00F41141"/>
    <w:rsid w:val="00F54F7D"/>
    <w:rsid w:val="00F55612"/>
    <w:rsid w:val="00F600CA"/>
    <w:rsid w:val="00F61907"/>
    <w:rsid w:val="00F67AD9"/>
    <w:rsid w:val="00F72262"/>
    <w:rsid w:val="00F73098"/>
    <w:rsid w:val="00F7540D"/>
    <w:rsid w:val="00F76AF5"/>
    <w:rsid w:val="00F8404C"/>
    <w:rsid w:val="00F92593"/>
    <w:rsid w:val="00F93F9A"/>
    <w:rsid w:val="00F968C6"/>
    <w:rsid w:val="00FA4770"/>
    <w:rsid w:val="00FC1453"/>
    <w:rsid w:val="00FC62C4"/>
    <w:rsid w:val="00FC7715"/>
    <w:rsid w:val="00FD0892"/>
    <w:rsid w:val="00FD58F6"/>
    <w:rsid w:val="00FE026B"/>
    <w:rsid w:val="00FE5794"/>
    <w:rsid w:val="00FE5A8A"/>
    <w:rsid w:val="00FE6C0D"/>
    <w:rsid w:val="00FF0CBB"/>
    <w:rsid w:val="00FF1DE8"/>
    <w:rsid w:val="00FF2FD2"/>
    <w:rsid w:val="00FF6097"/>
    <w:rsid w:val="00FF7C47"/>
    <w:rsid w:val="03B26F4F"/>
    <w:rsid w:val="04E8655A"/>
    <w:rsid w:val="10206F45"/>
    <w:rsid w:val="1580519F"/>
    <w:rsid w:val="18D5714B"/>
    <w:rsid w:val="1D76062F"/>
    <w:rsid w:val="222161A4"/>
    <w:rsid w:val="45850B9D"/>
    <w:rsid w:val="4E612DAC"/>
    <w:rsid w:val="589E5FEB"/>
    <w:rsid w:val="595759C1"/>
    <w:rsid w:val="5A1A2630"/>
    <w:rsid w:val="5F1C0483"/>
    <w:rsid w:val="6AE66261"/>
    <w:rsid w:val="6BAD6351"/>
    <w:rsid w:val="6CBA690B"/>
    <w:rsid w:val="707522A8"/>
    <w:rsid w:val="72223C04"/>
    <w:rsid w:val="77684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9"/>
    <w:qFormat/>
    <w:uiPriority w:val="9"/>
    <w:pPr>
      <w:keepNext/>
      <w:keepLines/>
      <w:numPr>
        <w:ilvl w:val="0"/>
        <w:numId w:val="1"/>
      </w:numPr>
      <w:tabs>
        <w:tab w:val="clear" w:pos="432"/>
      </w:tabs>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0"/>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41"/>
    <w:qFormat/>
    <w:uiPriority w:val="9"/>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42"/>
    <w:qFormat/>
    <w:uiPriority w:val="9"/>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43"/>
    <w:qFormat/>
    <w:uiPriority w:val="9"/>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44"/>
    <w:qFormat/>
    <w:uiPriority w:val="9"/>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45"/>
    <w:qFormat/>
    <w:uiPriority w:val="9"/>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46"/>
    <w:qFormat/>
    <w:uiPriority w:val="9"/>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47"/>
    <w:qFormat/>
    <w:uiPriority w:val="9"/>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link w:val="57"/>
    <w:qFormat/>
    <w:uiPriority w:val="99"/>
    <w:pPr>
      <w:spacing w:line="420" w:lineRule="auto"/>
    </w:pPr>
    <w:rPr>
      <w:sz w:val="24"/>
    </w:rPr>
  </w:style>
  <w:style w:type="paragraph" w:styleId="12">
    <w:name w:val="Normal Indent"/>
    <w:basedOn w:val="1"/>
    <w:link w:val="54"/>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0"/>
    <w:semiHidden/>
    <w:qFormat/>
    <w:uiPriority w:val="0"/>
    <w:rPr>
      <w:rFonts w:ascii="Heiti SC Light" w:hAnsi="Calibri" w:eastAsia="Times New Roman"/>
      <w:sz w:val="24"/>
    </w:rPr>
  </w:style>
  <w:style w:type="paragraph" w:styleId="15">
    <w:name w:val="annotation text"/>
    <w:basedOn w:val="1"/>
    <w:link w:val="53"/>
    <w:qFormat/>
    <w:uiPriority w:val="0"/>
    <w:pPr>
      <w:jc w:val="left"/>
    </w:pPr>
    <w:rPr>
      <w:rFonts w:asciiTheme="minorHAnsi" w:hAnsiTheme="minorHAnsi" w:eastAsiaTheme="minorEastAsia" w:cstheme="minorBidi"/>
      <w:szCs w:val="22"/>
    </w:rPr>
  </w:style>
  <w:style w:type="paragraph" w:styleId="16">
    <w:name w:val="Body Text Indent"/>
    <w:basedOn w:val="1"/>
    <w:link w:val="36"/>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35"/>
    <w:qFormat/>
    <w:uiPriority w:val="0"/>
    <w:rPr>
      <w:rFonts w:ascii="宋体" w:hAnsi="Courier New" w:cs="Courier New"/>
      <w:sz w:val="21"/>
      <w:szCs w:val="21"/>
    </w:rPr>
  </w:style>
  <w:style w:type="paragraph" w:styleId="19">
    <w:name w:val="Date"/>
    <w:basedOn w:val="1"/>
    <w:next w:val="1"/>
    <w:link w:val="114"/>
    <w:semiHidden/>
    <w:qFormat/>
    <w:uiPriority w:val="99"/>
    <w:pPr>
      <w:ind w:left="100" w:leftChars="2500"/>
    </w:pPr>
    <w:rPr>
      <w:rFonts w:ascii="Calibri" w:hAnsi="Calibri" w:cs="Calibri"/>
      <w:sz w:val="21"/>
      <w:szCs w:val="21"/>
    </w:rPr>
  </w:style>
  <w:style w:type="paragraph" w:styleId="20">
    <w:name w:val="Balloon Text"/>
    <w:basedOn w:val="1"/>
    <w:link w:val="37"/>
    <w:unhideWhenUsed/>
    <w:qFormat/>
    <w:uiPriority w:val="0"/>
    <w:rPr>
      <w:sz w:val="18"/>
      <w:szCs w:val="18"/>
    </w:rPr>
  </w:style>
  <w:style w:type="paragraph" w:styleId="21">
    <w:name w:val="footer"/>
    <w:basedOn w:val="1"/>
    <w:link w:val="34"/>
    <w:qFormat/>
    <w:uiPriority w:val="99"/>
    <w:pPr>
      <w:tabs>
        <w:tab w:val="center" w:pos="4153"/>
        <w:tab w:val="right" w:pos="8306"/>
      </w:tabs>
      <w:snapToGrid w:val="0"/>
      <w:jc w:val="left"/>
    </w:pPr>
    <w:rPr>
      <w:sz w:val="18"/>
      <w:szCs w:val="18"/>
    </w:rPr>
  </w:style>
  <w:style w:type="paragraph" w:styleId="22">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61"/>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63"/>
    <w:qFormat/>
    <w:uiPriority w:val="0"/>
    <w:pPr>
      <w:spacing w:before="240" w:after="60"/>
      <w:jc w:val="center"/>
      <w:outlineLvl w:val="0"/>
    </w:pPr>
    <w:rPr>
      <w:rFonts w:ascii="Cambria" w:hAnsi="Cambria"/>
      <w:b/>
      <w:bCs/>
      <w:sz w:val="32"/>
      <w:szCs w:val="32"/>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页脚 Char"/>
    <w:basedOn w:val="29"/>
    <w:link w:val="21"/>
    <w:qFormat/>
    <w:uiPriority w:val="99"/>
    <w:rPr>
      <w:rFonts w:ascii="Times New Roman" w:hAnsi="Times New Roman" w:eastAsia="宋体" w:cs="Times New Roman"/>
      <w:sz w:val="18"/>
      <w:szCs w:val="18"/>
    </w:rPr>
  </w:style>
  <w:style w:type="character" w:customStyle="1" w:styleId="35">
    <w:name w:val="纯文本 Char"/>
    <w:basedOn w:val="29"/>
    <w:link w:val="18"/>
    <w:qFormat/>
    <w:uiPriority w:val="0"/>
    <w:rPr>
      <w:rFonts w:ascii="宋体" w:hAnsi="Courier New" w:eastAsia="宋体" w:cs="Courier New"/>
      <w:szCs w:val="21"/>
    </w:rPr>
  </w:style>
  <w:style w:type="character" w:customStyle="1" w:styleId="36">
    <w:name w:val="正文文本缩进 Char"/>
    <w:basedOn w:val="29"/>
    <w:link w:val="16"/>
    <w:qFormat/>
    <w:uiPriority w:val="0"/>
    <w:rPr>
      <w:rFonts w:ascii="Times New Roman" w:hAnsi="Times New Roman" w:eastAsia="宋体" w:cs="Times New Roman"/>
      <w:sz w:val="32"/>
      <w:szCs w:val="20"/>
    </w:rPr>
  </w:style>
  <w:style w:type="character" w:customStyle="1" w:styleId="37">
    <w:name w:val="批注框文本 Char"/>
    <w:basedOn w:val="29"/>
    <w:link w:val="20"/>
    <w:qFormat/>
    <w:uiPriority w:val="0"/>
    <w:rPr>
      <w:rFonts w:ascii="Times New Roman" w:hAnsi="Times New Roman" w:eastAsia="宋体" w:cs="Times New Roman"/>
      <w:sz w:val="18"/>
      <w:szCs w:val="18"/>
    </w:rPr>
  </w:style>
  <w:style w:type="paragraph" w:styleId="38">
    <w:name w:val="List Paragraph"/>
    <w:basedOn w:val="1"/>
    <w:link w:val="117"/>
    <w:qFormat/>
    <w:uiPriority w:val="99"/>
    <w:pPr>
      <w:ind w:firstLine="420" w:firstLineChars="200"/>
    </w:pPr>
  </w:style>
  <w:style w:type="character" w:customStyle="1" w:styleId="39">
    <w:name w:val="标题 1 Char"/>
    <w:basedOn w:val="29"/>
    <w:link w:val="3"/>
    <w:qFormat/>
    <w:uiPriority w:val="9"/>
    <w:rPr>
      <w:rFonts w:ascii="Calibri" w:hAnsi="Calibri" w:eastAsia="仿宋" w:cs="Times New Roman"/>
      <w:b/>
      <w:bCs/>
      <w:kern w:val="44"/>
      <w:sz w:val="30"/>
      <w:szCs w:val="44"/>
    </w:rPr>
  </w:style>
  <w:style w:type="character" w:customStyle="1" w:styleId="40">
    <w:name w:val="标题 2 Char"/>
    <w:basedOn w:val="29"/>
    <w:link w:val="4"/>
    <w:qFormat/>
    <w:uiPriority w:val="0"/>
    <w:rPr>
      <w:rFonts w:ascii="Cambria" w:hAnsi="Cambria" w:eastAsia="宋体" w:cs="Times New Roman"/>
      <w:b/>
      <w:bCs/>
      <w:sz w:val="28"/>
      <w:szCs w:val="32"/>
    </w:rPr>
  </w:style>
  <w:style w:type="character" w:customStyle="1" w:styleId="41">
    <w:name w:val="标题 3 Char"/>
    <w:basedOn w:val="29"/>
    <w:link w:val="5"/>
    <w:qFormat/>
    <w:uiPriority w:val="9"/>
    <w:rPr>
      <w:rFonts w:ascii="Calibri" w:hAnsi="Calibri" w:eastAsia="宋体" w:cs="Times New Roman"/>
      <w:b/>
      <w:bCs/>
      <w:sz w:val="32"/>
      <w:szCs w:val="32"/>
    </w:rPr>
  </w:style>
  <w:style w:type="character" w:customStyle="1" w:styleId="42">
    <w:name w:val="标题 4 Char"/>
    <w:basedOn w:val="29"/>
    <w:link w:val="6"/>
    <w:qFormat/>
    <w:uiPriority w:val="9"/>
    <w:rPr>
      <w:rFonts w:ascii="Cambria" w:hAnsi="Cambria" w:eastAsia="宋体" w:cs="Times New Roman"/>
      <w:b/>
      <w:bCs/>
      <w:sz w:val="28"/>
      <w:szCs w:val="28"/>
    </w:rPr>
  </w:style>
  <w:style w:type="character" w:customStyle="1" w:styleId="43">
    <w:name w:val="标题 5 Char"/>
    <w:basedOn w:val="29"/>
    <w:link w:val="7"/>
    <w:qFormat/>
    <w:uiPriority w:val="9"/>
    <w:rPr>
      <w:rFonts w:ascii="Times New Roman" w:hAnsi="Times New Roman" w:eastAsia="宋体" w:cs="Times New Roman"/>
      <w:b/>
      <w:bCs/>
      <w:kern w:val="0"/>
      <w:sz w:val="28"/>
      <w:szCs w:val="28"/>
    </w:rPr>
  </w:style>
  <w:style w:type="character" w:customStyle="1" w:styleId="44">
    <w:name w:val="标题 6 Char"/>
    <w:basedOn w:val="29"/>
    <w:link w:val="8"/>
    <w:qFormat/>
    <w:uiPriority w:val="9"/>
    <w:rPr>
      <w:rFonts w:ascii="Arial" w:hAnsi="Arial" w:eastAsia="黑体" w:cs="Times New Roman"/>
      <w:b/>
      <w:bCs/>
      <w:kern w:val="0"/>
      <w:sz w:val="24"/>
      <w:szCs w:val="24"/>
    </w:rPr>
  </w:style>
  <w:style w:type="character" w:customStyle="1" w:styleId="45">
    <w:name w:val="标题 7 Char"/>
    <w:basedOn w:val="29"/>
    <w:link w:val="9"/>
    <w:qFormat/>
    <w:uiPriority w:val="9"/>
    <w:rPr>
      <w:rFonts w:ascii="Times New Roman" w:hAnsi="Times New Roman" w:eastAsia="宋体" w:cs="Times New Roman"/>
      <w:b/>
      <w:bCs/>
      <w:kern w:val="0"/>
      <w:sz w:val="24"/>
      <w:szCs w:val="24"/>
    </w:rPr>
  </w:style>
  <w:style w:type="character" w:customStyle="1" w:styleId="46">
    <w:name w:val="标题 8 Char"/>
    <w:basedOn w:val="29"/>
    <w:link w:val="10"/>
    <w:qFormat/>
    <w:uiPriority w:val="9"/>
    <w:rPr>
      <w:rFonts w:ascii="Arial" w:hAnsi="Arial" w:eastAsia="黑体" w:cs="Times New Roman"/>
      <w:kern w:val="0"/>
      <w:sz w:val="24"/>
      <w:szCs w:val="24"/>
    </w:rPr>
  </w:style>
  <w:style w:type="character" w:customStyle="1" w:styleId="47">
    <w:name w:val="标题 9 Char"/>
    <w:basedOn w:val="29"/>
    <w:link w:val="11"/>
    <w:qFormat/>
    <w:uiPriority w:val="9"/>
    <w:rPr>
      <w:rFonts w:ascii="Arial" w:hAnsi="Arial" w:eastAsia="黑体" w:cs="Times New Roman"/>
      <w:kern w:val="0"/>
      <w:szCs w:val="21"/>
    </w:rPr>
  </w:style>
  <w:style w:type="paragraph" w:customStyle="1" w:styleId="48">
    <w:name w:val="列出段落1"/>
    <w:basedOn w:val="1"/>
    <w:qFormat/>
    <w:uiPriority w:val="0"/>
    <w:pPr>
      <w:ind w:firstLine="420" w:firstLineChars="200"/>
    </w:pPr>
    <w:rPr>
      <w:rFonts w:ascii="Calibri" w:hAnsi="Calibri"/>
      <w:sz w:val="21"/>
      <w:szCs w:val="22"/>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文档结构图 Char"/>
    <w:basedOn w:val="29"/>
    <w:link w:val="14"/>
    <w:semiHidden/>
    <w:qFormat/>
    <w:uiPriority w:val="0"/>
    <w:rPr>
      <w:rFonts w:ascii="Heiti SC Light" w:hAnsi="Calibri" w:eastAsia="Times New Roman" w:cs="Times New Roman"/>
      <w:sz w:val="24"/>
      <w:szCs w:val="24"/>
    </w:rPr>
  </w:style>
  <w:style w:type="paragraph" w:customStyle="1" w:styleId="51">
    <w:name w:val="Char Char"/>
    <w:basedOn w:val="1"/>
    <w:qFormat/>
    <w:uiPriority w:val="0"/>
    <w:rPr>
      <w:rFonts w:ascii="Tahoma" w:hAnsi="Tahoma"/>
      <w:sz w:val="24"/>
      <w:szCs w:val="20"/>
    </w:rPr>
  </w:style>
  <w:style w:type="paragraph" w:customStyle="1" w:styleId="52">
    <w:name w:val="大汉方案正文"/>
    <w:basedOn w:val="1"/>
    <w:qFormat/>
    <w:uiPriority w:val="0"/>
    <w:pPr>
      <w:spacing w:line="360" w:lineRule="auto"/>
      <w:ind w:firstLine="200" w:firstLineChars="200"/>
    </w:pPr>
    <w:rPr>
      <w:rFonts w:ascii="Arial" w:hAnsi="Arial"/>
      <w:sz w:val="24"/>
      <w:szCs w:val="20"/>
    </w:rPr>
  </w:style>
  <w:style w:type="character" w:customStyle="1" w:styleId="53">
    <w:name w:val="批注文字 Char"/>
    <w:link w:val="15"/>
    <w:qFormat/>
    <w:uiPriority w:val="0"/>
    <w:rPr>
      <w:sz w:val="28"/>
    </w:rPr>
  </w:style>
  <w:style w:type="character" w:customStyle="1" w:styleId="54">
    <w:name w:val="正文缩进 Char"/>
    <w:link w:val="12"/>
    <w:qFormat/>
    <w:uiPriority w:val="0"/>
  </w:style>
  <w:style w:type="character" w:customStyle="1" w:styleId="55">
    <w:name w:val="纯文本 Char1"/>
    <w:qFormat/>
    <w:uiPriority w:val="0"/>
    <w:rPr>
      <w:rFonts w:ascii="宋体" w:hAnsi="Courier New" w:cs="Courier New"/>
      <w:kern w:val="2"/>
      <w:sz w:val="21"/>
      <w:szCs w:val="21"/>
    </w:rPr>
  </w:style>
  <w:style w:type="character" w:customStyle="1" w:styleId="56">
    <w:name w:val="批注文字 Char1"/>
    <w:basedOn w:val="29"/>
    <w:qFormat/>
    <w:uiPriority w:val="0"/>
    <w:rPr>
      <w:rFonts w:ascii="Times New Roman" w:hAnsi="Times New Roman" w:eastAsia="宋体" w:cs="Times New Roman"/>
      <w:sz w:val="28"/>
      <w:szCs w:val="24"/>
    </w:rPr>
  </w:style>
  <w:style w:type="character" w:customStyle="1" w:styleId="57">
    <w:name w:val="正文文本 Char"/>
    <w:basedOn w:val="29"/>
    <w:link w:val="2"/>
    <w:qFormat/>
    <w:uiPriority w:val="99"/>
    <w:rPr>
      <w:rFonts w:ascii="Times New Roman" w:hAnsi="Times New Roman" w:eastAsia="宋体" w:cs="Times New Roman"/>
      <w:sz w:val="24"/>
      <w:szCs w:val="24"/>
    </w:rPr>
  </w:style>
  <w:style w:type="paragraph" w:customStyle="1" w:styleId="5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9">
    <w:name w:val="apple-converted-space"/>
    <w:qFormat/>
    <w:uiPriority w:val="0"/>
  </w:style>
  <w:style w:type="paragraph" w:customStyle="1" w:styleId="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1">
    <w:name w:val="正文文本缩进 3 Char"/>
    <w:basedOn w:val="29"/>
    <w:link w:val="24"/>
    <w:qFormat/>
    <w:uiPriority w:val="0"/>
    <w:rPr>
      <w:rFonts w:ascii="Times New Roman" w:hAnsi="Times New Roman" w:eastAsia="宋体" w:cs="Times New Roman"/>
      <w:sz w:val="16"/>
      <w:szCs w:val="16"/>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标题 Char"/>
    <w:basedOn w:val="29"/>
    <w:link w:val="26"/>
    <w:qFormat/>
    <w:uiPriority w:val="0"/>
    <w:rPr>
      <w:rFonts w:ascii="Cambria" w:hAnsi="Cambria" w:eastAsia="宋体" w:cs="Times New Roman"/>
      <w:b/>
      <w:bCs/>
      <w:sz w:val="32"/>
      <w:szCs w:val="32"/>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3 Char1"/>
    <w:qFormat/>
    <w:uiPriority w:val="0"/>
    <w:rPr>
      <w:rFonts w:ascii="Times New Roman" w:hAnsi="Times New Roman" w:eastAsia="宋体" w:cs="Times New Roman"/>
      <w:sz w:val="24"/>
      <w:szCs w:val="20"/>
    </w:rPr>
  </w:style>
  <w:style w:type="paragraph" w:customStyle="1" w:styleId="67">
    <w:name w:val="Char Char11 Char Char Char Char"/>
    <w:basedOn w:val="1"/>
    <w:qFormat/>
    <w:uiPriority w:val="0"/>
    <w:pPr>
      <w:tabs>
        <w:tab w:val="left" w:pos="360"/>
      </w:tabs>
    </w:pPr>
    <w:rPr>
      <w:sz w:val="21"/>
    </w:rPr>
  </w:style>
  <w:style w:type="paragraph" w:customStyle="1" w:styleId="6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6">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1">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5">
    <w:name w:val="页眉 Char"/>
    <w:basedOn w:val="29"/>
    <w:link w:val="22"/>
    <w:qFormat/>
    <w:uiPriority w:val="99"/>
    <w:rPr>
      <w:rFonts w:ascii="Times New Roman" w:hAnsi="Times New Roman" w:eastAsia="宋体" w:cs="Times New Roman"/>
      <w:sz w:val="18"/>
      <w:szCs w:val="18"/>
    </w:rPr>
  </w:style>
  <w:style w:type="paragraph" w:customStyle="1" w:styleId="106">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107">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108">
    <w:name w:val="_Style 0"/>
    <w:qFormat/>
    <w:uiPriority w:val="99"/>
    <w:pPr>
      <w:widowControl w:val="0"/>
      <w:jc w:val="both"/>
    </w:pPr>
    <w:rPr>
      <w:rFonts w:ascii="Times New Roman" w:hAnsi="Times New Roman" w:eastAsia="宋体" w:cs="Times New Roman"/>
      <w:color w:val="000000"/>
      <w:sz w:val="21"/>
      <w:szCs w:val="24"/>
      <w:lang w:val="en-US" w:eastAsia="zh-CN" w:bidi="ar-SA"/>
    </w:rPr>
  </w:style>
  <w:style w:type="paragraph" w:customStyle="1" w:styleId="109">
    <w:name w:val="表格内"/>
    <w:basedOn w:val="1"/>
    <w:link w:val="110"/>
    <w:qFormat/>
    <w:uiPriority w:val="0"/>
    <w:pPr>
      <w:widowControl/>
      <w:spacing w:after="3"/>
      <w:ind w:left="-11" w:hanging="102"/>
      <w:jc w:val="left"/>
    </w:pPr>
    <w:rPr>
      <w:rFonts w:ascii="宋体" w:hAnsi="宋体" w:cs="宋体"/>
      <w:color w:val="000000"/>
      <w:sz w:val="22"/>
      <w:szCs w:val="22"/>
    </w:rPr>
  </w:style>
  <w:style w:type="character" w:customStyle="1" w:styleId="110">
    <w:name w:val="表格内 Char"/>
    <w:basedOn w:val="29"/>
    <w:link w:val="109"/>
    <w:qFormat/>
    <w:uiPriority w:val="0"/>
    <w:rPr>
      <w:rFonts w:ascii="宋体" w:hAnsi="宋体" w:eastAsia="宋体" w:cs="宋体"/>
      <w:color w:val="000000"/>
      <w:sz w:val="22"/>
    </w:rPr>
  </w:style>
  <w:style w:type="table" w:customStyle="1" w:styleId="111">
    <w:name w:val="网格型1"/>
    <w:basedOn w:val="27"/>
    <w:qFormat/>
    <w:uiPriority w:val="0"/>
    <w:pPr>
      <w:widowControl w:val="0"/>
      <w:spacing w:line="360" w:lineRule="auto"/>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2">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3">
    <w:name w:val="15"/>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日期 Char"/>
    <w:basedOn w:val="29"/>
    <w:link w:val="19"/>
    <w:semiHidden/>
    <w:qFormat/>
    <w:uiPriority w:val="99"/>
    <w:rPr>
      <w:rFonts w:ascii="Calibri" w:hAnsi="Calibri" w:eastAsia="宋体" w:cs="Calibri"/>
      <w:szCs w:val="21"/>
    </w:rPr>
  </w:style>
  <w:style w:type="paragraph" w:customStyle="1" w:styleId="115">
    <w:name w:val="No Spacing2"/>
    <w:qFormat/>
    <w:uiPriority w:val="0"/>
    <w:pPr>
      <w:widowControl w:val="0"/>
      <w:jc w:val="both"/>
    </w:pPr>
    <w:rPr>
      <w:rFonts w:ascii="Calibri" w:hAnsi="Calibri" w:eastAsia="宋体" w:cs="黑体"/>
      <w:kern w:val="2"/>
      <w:sz w:val="21"/>
      <w:szCs w:val="22"/>
      <w:lang w:val="en-US" w:eastAsia="zh-CN" w:bidi="ar-SA"/>
    </w:rPr>
  </w:style>
  <w:style w:type="paragraph" w:customStyle="1" w:styleId="116">
    <w:name w:val="石墨文档正文"/>
    <w:qFormat/>
    <w:uiPriority w:val="99"/>
    <w:rPr>
      <w:rFonts w:ascii="微软雅黑" w:hAnsi="微软雅黑" w:eastAsia="微软雅黑" w:cs="微软雅黑"/>
      <w:sz w:val="22"/>
      <w:szCs w:val="22"/>
      <w:lang w:val="en-US" w:eastAsia="zh-CN" w:bidi="ar-SA"/>
    </w:rPr>
  </w:style>
  <w:style w:type="character" w:customStyle="1" w:styleId="117">
    <w:name w:val="列出段落 Char"/>
    <w:link w:val="38"/>
    <w:qFormat/>
    <w:uiPriority w:val="99"/>
    <w:rPr>
      <w:rFonts w:ascii="Times New Roman" w:hAnsi="Times New Roman" w:eastAsia="宋体" w:cs="Times New Roman"/>
      <w:kern w:val="2"/>
      <w:sz w:val="28"/>
      <w:szCs w:val="24"/>
    </w:rPr>
  </w:style>
  <w:style w:type="character" w:customStyle="1" w:styleId="118">
    <w:name w:val="font01"/>
    <w:basedOn w:val="29"/>
    <w:qFormat/>
    <w:uiPriority w:val="0"/>
    <w:rPr>
      <w:rFonts w:hint="eastAsia" w:ascii="宋体" w:hAnsi="宋体" w:eastAsia="宋体" w:cs="宋体"/>
      <w:color w:val="000000"/>
      <w:sz w:val="20"/>
      <w:szCs w:val="20"/>
      <w:u w:val="none"/>
    </w:rPr>
  </w:style>
  <w:style w:type="paragraph" w:customStyle="1" w:styleId="119">
    <w:name w:val="Body text|21"/>
    <w:basedOn w:val="1"/>
    <w:qFormat/>
    <w:uiPriority w:val="0"/>
    <w:pPr>
      <w:shd w:val="clear" w:color="auto" w:fill="FFFFFF"/>
      <w:spacing w:before="500" w:after="240" w:line="220" w:lineRule="exact"/>
      <w:jc w:val="distribute"/>
    </w:pPr>
    <w:rPr>
      <w:rFonts w:ascii="PMingLiU" w:hAnsi="PMingLiU" w:eastAsia="PMingLiU" w:cs="PMingLiU"/>
      <w:sz w:val="22"/>
      <w:szCs w:val="22"/>
    </w:rPr>
  </w:style>
  <w:style w:type="character" w:customStyle="1" w:styleId="120">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21">
    <w:name w:val="网格型2"/>
    <w:basedOn w:val="2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网格型3"/>
    <w:basedOn w:val="2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4941</Words>
  <Characters>28164</Characters>
  <Lines>234</Lines>
  <Paragraphs>66</Paragraphs>
  <TotalTime>23</TotalTime>
  <ScaleCrop>false</ScaleCrop>
  <LinksUpToDate>false</LinksUpToDate>
  <CharactersWithSpaces>33039</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2022-08-23T16:32:00Z</dcterms:created>
  <dc:creator>wzg</dc:creator>
  <cp:lastModifiedBy>涂</cp:lastModifiedBy>
  <cp:lastPrinted>2020-09-09T14:40:00Z</cp:lastPrinted>
  <dcterms:modified xsi:type="dcterms:W3CDTF">2022-09-05T14:58:00Z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B3549805FD332BE4F89D1563ADDCB24B</vt:lpwstr>
  </property>
</Properties>
</file>