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 w:cs="CESI黑体-GB2312"/>
          <w:sz w:val="32"/>
          <w:szCs w:val="32"/>
        </w:rPr>
        <w:t>附件</w:t>
      </w:r>
      <w:r>
        <w:rPr>
          <w:rFonts w:hint="eastAsia" w:ascii="黑体" w:hAnsi="黑体" w:eastAsia="黑体" w:cs="CESI黑体-GB2312"/>
          <w:sz w:val="32"/>
          <w:szCs w:val="32"/>
          <w:lang w:val="en-US" w:eastAsia="zh-CN"/>
        </w:rPr>
        <w:t>7.</w:t>
      </w:r>
      <w:r>
        <w:rPr>
          <w:rFonts w:ascii="黑体" w:hAnsi="黑体" w:eastAsia="黑体" w:cs="CESI黑体-GB2312"/>
          <w:sz w:val="32"/>
          <w:szCs w:val="32"/>
        </w:rPr>
        <w:t>1</w:t>
      </w:r>
    </w:p>
    <w:p>
      <w:pPr>
        <w:rPr>
          <w:rFonts w:ascii="仿宋_GB2312" w:eastAsia="仿宋_GB2312"/>
          <w:color w:val="000000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                      　　　　</w:t>
      </w:r>
      <w:r>
        <w:rPr>
          <w:rFonts w:hint="eastAsia" w:ascii="仿宋_GB2312" w:eastAsia="仿宋_GB2312"/>
          <w:color w:val="000000"/>
          <w:sz w:val="30"/>
          <w:szCs w:val="30"/>
        </w:rPr>
        <w:t>项目编号：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>（省局填写）</w:t>
      </w:r>
    </w:p>
    <w:p>
      <w:pPr>
        <w:pStyle w:val="9"/>
        <w:shd w:val="clear" w:color="auto" w:fill="FFFFFF"/>
        <w:spacing w:before="0" w:beforeAutospacing="0" w:after="0" w:afterAutospacing="0" w:line="540" w:lineRule="atLeast"/>
        <w:ind w:right="-58"/>
        <w:rPr>
          <w:rFonts w:ascii="仿宋_GB2312" w:hAnsi="黑体" w:eastAsia="仿宋_GB2312"/>
          <w:color w:val="000000"/>
          <w:sz w:val="32"/>
          <w:szCs w:val="32"/>
        </w:rPr>
      </w:pPr>
    </w:p>
    <w:p>
      <w:pPr>
        <w:spacing w:line="900" w:lineRule="exact"/>
        <w:rPr>
          <w:rFonts w:ascii="仿宋_GB2312" w:hAnsi="华文中宋" w:eastAsia="仿宋_GB2312"/>
          <w:color w:val="000000"/>
          <w:sz w:val="44"/>
          <w:szCs w:val="44"/>
        </w:rPr>
      </w:pPr>
    </w:p>
    <w:p>
      <w:pPr>
        <w:spacing w:line="900" w:lineRule="exact"/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48"/>
          <w:szCs w:val="48"/>
          <w:lang w:eastAsia="zh-CN"/>
        </w:rPr>
        <w:t>2023年湖北省高价值专利培育中心</w:t>
      </w:r>
      <w:bookmarkStart w:id="0" w:name="_GoBack"/>
      <w:bookmarkEnd w:id="0"/>
    </w:p>
    <w:p>
      <w:pPr>
        <w:ind w:firstLine="3855" w:firstLineChars="800"/>
        <w:jc w:val="both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8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48"/>
          <w:szCs w:val="48"/>
        </w:rPr>
        <w:t>项目任务书</w:t>
      </w:r>
    </w:p>
    <w:p>
      <w:pPr>
        <w:jc w:val="left"/>
        <w:rPr>
          <w:rFonts w:hint="default" w:ascii="仿宋_GB2312" w:eastAsia="仿宋_GB2312"/>
          <w:b/>
          <w:bCs/>
          <w:color w:val="000000"/>
          <w:sz w:val="24"/>
          <w:szCs w:val="24"/>
          <w:lang w:val="en-US" w:eastAsia="zh-CN"/>
        </w:rPr>
      </w:pPr>
    </w:p>
    <w:p>
      <w:pPr>
        <w:jc w:val="center"/>
        <w:rPr>
          <w:rFonts w:ascii="仿宋_GB2312" w:eastAsia="仿宋_GB2312"/>
          <w:b/>
          <w:bCs/>
          <w:color w:val="000000"/>
          <w:sz w:val="52"/>
          <w:szCs w:val="5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360" w:lineRule="auto"/>
        <w:ind w:firstLine="1280" w:firstLineChars="400"/>
        <w:rPr>
          <w:rFonts w:ascii="仿宋_GB2312" w:hAnsi="宋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项目名称：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ind w:firstLine="1280" w:firstLineChars="400"/>
        <w:rPr>
          <w:rFonts w:ascii="仿宋_GB2312" w:hAnsi="宋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委托单位（甲方）：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（盖章） 湖北省知识产权局 </w:t>
      </w:r>
    </w:p>
    <w:p>
      <w:pPr>
        <w:spacing w:line="360" w:lineRule="auto"/>
        <w:ind w:firstLine="1280" w:firstLineChars="400"/>
        <w:rPr>
          <w:rFonts w:ascii="仿宋_GB2312" w:hAnsi="宋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承担单位（乙方）：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（盖章）                  </w:t>
      </w:r>
    </w:p>
    <w:p>
      <w:pPr>
        <w:spacing w:line="360" w:lineRule="auto"/>
        <w:ind w:firstLine="1280" w:firstLineChars="400"/>
        <w:rPr>
          <w:rFonts w:ascii="仿宋_GB2312" w:hAnsi="宋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负责人：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联系电话：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</w:t>
      </w:r>
    </w:p>
    <w:p>
      <w:pPr>
        <w:spacing w:line="360" w:lineRule="auto"/>
        <w:ind w:firstLine="1280" w:firstLineChars="4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归口管理单位（丙方）：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（盖章）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</w:t>
      </w:r>
    </w:p>
    <w:p>
      <w:pPr>
        <w:spacing w:line="360" w:lineRule="auto"/>
        <w:ind w:firstLine="1280" w:firstLineChars="400"/>
        <w:rPr>
          <w:rFonts w:ascii="仿宋_GB2312" w:hAnsi="宋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填报日期：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年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日 </w:t>
      </w:r>
    </w:p>
    <w:p>
      <w:pPr>
        <w:spacing w:line="360" w:lineRule="auto"/>
        <w:rPr>
          <w:rFonts w:ascii="仿宋_GB2312" w:eastAsia="仿宋_GB2312"/>
          <w:color w:val="000000"/>
          <w:sz w:val="32"/>
          <w:szCs w:val="32"/>
          <w:u w:val="single"/>
        </w:rPr>
      </w:pPr>
    </w:p>
    <w:p>
      <w:pPr>
        <w:spacing w:line="360" w:lineRule="auto"/>
        <w:rPr>
          <w:rFonts w:ascii="仿宋_GB2312" w:eastAsia="仿宋_GB2312"/>
          <w:color w:val="000000"/>
          <w:sz w:val="32"/>
          <w:szCs w:val="32"/>
          <w:u w:val="single"/>
        </w:rPr>
      </w:pPr>
    </w:p>
    <w:p>
      <w:pPr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湖北省知识产权局编制</w:t>
      </w:r>
    </w:p>
    <w:p>
      <w:pPr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二</w:t>
      </w:r>
      <w:r>
        <w:rPr>
          <w:rFonts w:hint="eastAsia" w:ascii="仿宋_GB2312" w:hAnsi="宋体"/>
          <w:color w:val="000000"/>
          <w:sz w:val="32"/>
          <w:szCs w:val="32"/>
        </w:rPr>
        <w:t>〇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二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年制</w:t>
      </w:r>
    </w:p>
    <w:p>
      <w:pPr>
        <w:spacing w:line="360" w:lineRule="auto"/>
        <w:rPr>
          <w:rFonts w:ascii="仿宋_GB2312" w:eastAsia="仿宋_GB2312"/>
          <w:color w:val="000000"/>
          <w:sz w:val="32"/>
          <w:szCs w:val="32"/>
          <w:u w:val="single"/>
        </w:rPr>
      </w:pPr>
    </w:p>
    <w:p>
      <w:pPr>
        <w:jc w:val="center"/>
        <w:rPr>
          <w:rFonts w:ascii="仿宋_GB2312" w:eastAsia="仿宋_GB2312"/>
          <w:b/>
          <w:color w:val="000000"/>
          <w:sz w:val="32"/>
        </w:rPr>
      </w:pPr>
    </w:p>
    <w:p>
      <w:pPr>
        <w:jc w:val="center"/>
        <w:rPr>
          <w:rFonts w:ascii="仿宋_GB2312" w:eastAsia="仿宋_GB2312"/>
          <w:b/>
          <w:bCs/>
          <w:color w:val="000000"/>
          <w:sz w:val="36"/>
        </w:rPr>
      </w:pPr>
      <w:r>
        <w:rPr>
          <w:rFonts w:hint="eastAsia" w:ascii="仿宋_GB2312" w:eastAsia="仿宋_GB2312"/>
          <w:b/>
          <w:bCs/>
          <w:color w:val="000000"/>
          <w:sz w:val="36"/>
        </w:rPr>
        <w:t>填 写 说 明</w:t>
      </w:r>
    </w:p>
    <w:p>
      <w:pPr>
        <w:spacing w:line="360" w:lineRule="auto"/>
        <w:ind w:right="566"/>
        <w:rPr>
          <w:rFonts w:ascii="仿宋_GB2312" w:eastAsia="仿宋_GB2312"/>
          <w:b/>
          <w:color w:val="000000"/>
          <w:sz w:val="32"/>
        </w:rPr>
      </w:pPr>
    </w:p>
    <w:p>
      <w:pPr>
        <w:widowControl/>
        <w:spacing w:before="30" w:after="30" w:line="560" w:lineRule="exact"/>
        <w:ind w:right="-1" w:firstLine="566" w:firstLineChars="177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一、本任务书适用于202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年湖北省高价值专利培育中心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项目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实施工作，甲方为湖北省知识产权局，乙方为项目承担单位，丙方为项目</w:t>
      </w:r>
      <w:r>
        <w:rPr>
          <w:rFonts w:hint="eastAsia" w:ascii="仿宋_GB2312" w:eastAsia="仿宋_GB2312"/>
          <w:color w:val="000000"/>
          <w:sz w:val="32"/>
          <w:szCs w:val="32"/>
        </w:rPr>
        <w:t>归口管理单位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</w:rPr>
        <w:t>各市、州、直管市、神农架林区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知识产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权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管理部门）。</w:t>
      </w:r>
    </w:p>
    <w:p>
      <w:pPr>
        <w:widowControl/>
        <w:spacing w:before="30" w:after="30" w:line="560" w:lineRule="exact"/>
        <w:ind w:right="-1" w:firstLine="566" w:firstLineChars="177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二、本任务书填写内容应与项目申报书中的内容相符，项目承担单位承担任务以任务书内容为依据。</w:t>
      </w:r>
    </w:p>
    <w:p>
      <w:pPr>
        <w:widowControl/>
        <w:spacing w:before="30" w:after="30" w:line="560" w:lineRule="exact"/>
        <w:ind w:right="-1" w:firstLine="566" w:firstLineChars="177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、本任务书由省知识产权局与主要承担单位签订，如承担单位为两个或两个以上，需另附承担单位之间明确相互责任的协议。</w:t>
      </w:r>
    </w:p>
    <w:p>
      <w:pPr>
        <w:widowControl/>
        <w:spacing w:before="30" w:after="30" w:line="560" w:lineRule="exact"/>
        <w:ind w:right="-1" w:firstLine="566" w:firstLineChars="177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588" w:right="1474" w:bottom="1474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 w:chapStyle="1"/>
          <w:cols w:space="425" w:num="1"/>
          <w:docGrid w:linePitch="312" w:charSpace="0"/>
        </w:sect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四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项目任务书A4纸双面打印，与其附件材料合装成册，装订后的任务书勿另加封面，一式三份（原件）报送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right="-6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一、项目概况</w:t>
      </w:r>
    </w:p>
    <w:tbl>
      <w:tblPr>
        <w:tblStyle w:val="10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7" w:hRule="atLeast"/>
          <w:jc w:val="center"/>
        </w:trPr>
        <w:tc>
          <w:tcPr>
            <w:tcW w:w="9500" w:type="dxa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ascii="仿宋_GB2312" w:hAnsi="CESI仿宋-GB2312" w:eastAsia="仿宋_GB2312" w:cs="CESI仿宋-GB2312"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</w:rPr>
              <w:t>（培育中心建设的目的和意义、工作基础、实施路径及保障措施等，包括：现有技术水平，国内外相关研究开发情况及知识产权现状，在专利信息利用、高价值专利前瞻布局、转化运用等方面的实施路径和保障等。）</w:t>
            </w:r>
          </w:p>
          <w:p>
            <w:pPr>
              <w:snapToGrid w:val="0"/>
              <w:spacing w:line="360" w:lineRule="auto"/>
              <w:ind w:right="-6"/>
              <w:jc w:val="left"/>
              <w:rPr>
                <w:rFonts w:ascii="仿宋" w:hAnsi="仿宋" w:eastAsia="仿宋"/>
                <w:color w:val="000000"/>
                <w:sz w:val="30"/>
              </w:rPr>
            </w:pPr>
          </w:p>
        </w:tc>
      </w:tr>
    </w:tbl>
    <w:p>
      <w:pPr>
        <w:snapToGrid w:val="0"/>
        <w:spacing w:line="360" w:lineRule="auto"/>
        <w:ind w:right="-6"/>
        <w:jc w:val="left"/>
        <w:rPr>
          <w:rFonts w:ascii="黑体" w:hAnsi="Times New Roman" w:eastAsia="黑体" w:cs="Times New Roman"/>
          <w:color w:val="000000"/>
          <w:sz w:val="32"/>
          <w:szCs w:val="32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</w:rPr>
        <w:t>二、项目目标和主要内容</w:t>
      </w:r>
    </w:p>
    <w:tbl>
      <w:tblPr>
        <w:tblStyle w:val="10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7" w:hRule="atLeast"/>
          <w:jc w:val="center"/>
        </w:trPr>
        <w:tc>
          <w:tcPr>
            <w:tcW w:w="9620" w:type="dxa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CESI仿宋-GB2312" w:eastAsia="仿宋_GB2312" w:cs="CESI仿宋-GB2312"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</w:rPr>
              <w:t>（培育中心建设期满后的预期目标和成果形式，包括关键技术的高价值专利产出情况、对产业或企业发展的促进作用、转化运用产生的经济效益和社会效益等。）</w:t>
            </w:r>
          </w:p>
          <w:p>
            <w:pPr>
              <w:ind w:firstLine="600" w:firstLineChars="200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napToGrid w:val="0"/>
        <w:spacing w:line="360" w:lineRule="auto"/>
        <w:ind w:right="-6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三、项目进度</w:t>
      </w:r>
      <w:r>
        <w:rPr>
          <w:rFonts w:ascii="黑体" w:eastAsia="黑体"/>
          <w:color w:val="000000"/>
          <w:sz w:val="32"/>
          <w:szCs w:val="32"/>
        </w:rPr>
        <w:t>安排</w:t>
      </w:r>
    </w:p>
    <w:tbl>
      <w:tblPr>
        <w:tblStyle w:val="10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0" w:hRule="atLeast"/>
          <w:jc w:val="center"/>
        </w:trPr>
        <w:tc>
          <w:tcPr>
            <w:tcW w:w="9500" w:type="dxa"/>
          </w:tcPr>
          <w:p>
            <w:pPr>
              <w:snapToGrid w:val="0"/>
              <w:spacing w:line="360" w:lineRule="auto"/>
              <w:ind w:right="-6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（为完成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项目任务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拟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定的时间表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，以及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项目开展的方式、方法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和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阶段目标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</w:p>
          <w:p>
            <w:pPr>
              <w:snapToGrid w:val="0"/>
              <w:spacing w:line="360" w:lineRule="auto"/>
              <w:ind w:right="-6"/>
              <w:jc w:val="left"/>
              <w:rPr>
                <w:rFonts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备注：</w:t>
            </w: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  <w:lang w:eastAsia="zh-CN"/>
              </w:rPr>
              <w:t>项目实施</w:t>
            </w: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  <w:lang w:val="en-US" w:eastAsia="zh-CN"/>
              </w:rPr>
              <w:t>时间</w:t>
            </w: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  <w:lang w:eastAsia="zh-CN"/>
              </w:rPr>
              <w:t>为</w:t>
            </w: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。</w:t>
            </w:r>
          </w:p>
          <w:p>
            <w:pPr>
              <w:snapToGrid w:val="0"/>
              <w:spacing w:line="360" w:lineRule="auto"/>
              <w:ind w:right="-6"/>
              <w:jc w:val="left"/>
              <w:rPr>
                <w:rFonts w:ascii="仿宋" w:hAnsi="仿宋" w:eastAsia="仿宋"/>
                <w:color w:val="000000"/>
                <w:sz w:val="30"/>
              </w:rPr>
            </w:pPr>
          </w:p>
        </w:tc>
      </w:tr>
    </w:tbl>
    <w:p>
      <w:pPr>
        <w:snapToGrid w:val="0"/>
        <w:spacing w:line="360" w:lineRule="auto"/>
        <w:ind w:right="-6"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四、预期成果及考核指标</w:t>
      </w:r>
    </w:p>
    <w:tbl>
      <w:tblPr>
        <w:tblStyle w:val="10"/>
        <w:tblW w:w="8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2310"/>
        <w:gridCol w:w="1680"/>
        <w:gridCol w:w="1785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697" w:type="dxa"/>
            <w:gridSpan w:val="5"/>
            <w:vAlign w:val="center"/>
          </w:tcPr>
          <w:p>
            <w:pPr>
              <w:pStyle w:val="6"/>
              <w:rPr>
                <w:rFonts w:ascii="仿宋_GB2312" w:hAnsi="CESI仿宋-GB2312" w:eastAsia="仿宋_GB2312" w:cs="CESI仿宋-GB2312"/>
                <w:sz w:val="24"/>
              </w:rPr>
            </w:pPr>
            <w:r>
              <w:rPr>
                <w:rFonts w:hint="eastAsia" w:ascii="仿宋_GB2312" w:hAnsi="Times New Roman" w:eastAsia="仿宋_GB2312" w:cs="方正仿宋_GBK"/>
                <w:sz w:val="24"/>
                <w:lang w:eastAsia="zh-CN"/>
              </w:rPr>
              <w:t>（培育中心三年建设期满后，根据管理办法规定，对照项目申报书任务书，省知识产权局委托第三方评估机构开展绩效评价，择优给予经费后补助；评价参建服务机构知识产权运营服务收入、促成专利转让、许可及国外布局情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楷体_GBK" w:eastAsia="仿宋_GB2312" w:cs="方正黑体_GBK"/>
                <w:sz w:val="24"/>
              </w:rPr>
            </w:pPr>
            <w:r>
              <w:rPr>
                <w:rFonts w:hint="eastAsia" w:ascii="仿宋_GB2312" w:hAnsi="方正楷体_GBK" w:eastAsia="仿宋_GB2312" w:cs="方正黑体_GBK"/>
                <w:sz w:val="24"/>
              </w:rPr>
              <w:t>专利实力</w:t>
            </w:r>
          </w:p>
          <w:p>
            <w:pPr>
              <w:spacing w:line="320" w:lineRule="exact"/>
              <w:jc w:val="center"/>
              <w:rPr>
                <w:rFonts w:ascii="仿宋_GB2312" w:hAnsi="方正楷体_GBK" w:eastAsia="仿宋_GB2312"/>
                <w:sz w:val="24"/>
              </w:rPr>
            </w:pPr>
            <w:r>
              <w:rPr>
                <w:rFonts w:hint="eastAsia" w:ascii="仿宋_GB2312" w:hAnsi="方正楷体_GBK" w:eastAsia="仿宋_GB2312" w:cs="方正黑体_GBK"/>
                <w:sz w:val="24"/>
              </w:rPr>
              <w:t>状况</w:t>
            </w:r>
          </w:p>
        </w:tc>
        <w:tc>
          <w:tcPr>
            <w:tcW w:w="23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ESI仿宋-GB2312" w:eastAsia="仿宋_GB2312" w:cs="CESI仿宋-GB2312"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</w:rPr>
              <w:t>类型</w:t>
            </w: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ESI仿宋-GB2312" w:eastAsia="仿宋_GB2312" w:cs="CESI仿宋-GB2312"/>
                <w:sz w:val="24"/>
              </w:rPr>
            </w:pPr>
            <w:r>
              <w:rPr>
                <w:rFonts w:ascii="仿宋_GB2312" w:hAnsi="CESI仿宋-GB2312" w:eastAsia="仿宋_GB2312" w:cs="CESI仿宋-GB2312"/>
                <w:sz w:val="24"/>
              </w:rPr>
              <w:t>20</w:t>
            </w:r>
            <w:r>
              <w:rPr>
                <w:rFonts w:hint="eastAsia" w:ascii="仿宋_GB2312" w:hAnsi="CESI仿宋-GB2312" w:eastAsia="仿宋_GB2312" w:cs="CESI仿宋-GB2312"/>
                <w:sz w:val="24"/>
                <w:lang w:val="en-US" w:eastAsia="zh-CN"/>
              </w:rPr>
              <w:t>24</w:t>
            </w:r>
            <w:r>
              <w:rPr>
                <w:rFonts w:hint="eastAsia" w:ascii="仿宋_GB2312" w:hAnsi="CESI仿宋-GB2312" w:eastAsia="仿宋_GB2312" w:cs="CESI仿宋-GB2312"/>
                <w:sz w:val="24"/>
              </w:rPr>
              <w:t>年</w:t>
            </w:r>
          </w:p>
        </w:tc>
        <w:tc>
          <w:tcPr>
            <w:tcW w:w="17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ESI仿宋-GB2312" w:eastAsia="仿宋_GB2312" w:cs="CESI仿宋-GB2312"/>
                <w:sz w:val="24"/>
              </w:rPr>
            </w:pPr>
            <w:r>
              <w:rPr>
                <w:rFonts w:ascii="仿宋_GB2312" w:hAnsi="CESI仿宋-GB2312" w:eastAsia="仿宋_GB2312" w:cs="CESI仿宋-GB2312"/>
                <w:sz w:val="24"/>
              </w:rPr>
              <w:t>202</w:t>
            </w:r>
            <w:r>
              <w:rPr>
                <w:rFonts w:hint="eastAsia" w:ascii="仿宋_GB2312" w:hAnsi="CESI仿宋-GB2312" w:eastAsia="仿宋_GB2312" w:cs="CESI仿宋-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CESI仿宋-GB2312" w:eastAsia="仿宋_GB2312" w:cs="CESI仿宋-GB2312"/>
                <w:sz w:val="24"/>
              </w:rPr>
              <w:t>年</w:t>
            </w:r>
          </w:p>
        </w:tc>
        <w:tc>
          <w:tcPr>
            <w:tcW w:w="14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ESI仿宋-GB2312" w:eastAsia="仿宋_GB2312" w:cs="CESI仿宋-GB2312"/>
                <w:sz w:val="24"/>
              </w:rPr>
            </w:pPr>
            <w:r>
              <w:rPr>
                <w:rFonts w:ascii="仿宋_GB2312" w:hAnsi="CESI仿宋-GB2312" w:eastAsia="仿宋_GB2312" w:cs="CESI仿宋-GB2312"/>
                <w:sz w:val="24"/>
              </w:rPr>
              <w:t>20</w:t>
            </w:r>
            <w:r>
              <w:rPr>
                <w:rFonts w:hint="eastAsia" w:ascii="仿宋_GB2312" w:hAnsi="CESI仿宋-GB2312" w:eastAsia="仿宋_GB2312" w:cs="CESI仿宋-GB2312"/>
                <w:sz w:val="24"/>
                <w:lang w:val="en-US" w:eastAsia="zh-CN"/>
              </w:rPr>
              <w:t>26</w:t>
            </w:r>
            <w:r>
              <w:rPr>
                <w:rFonts w:hint="eastAsia" w:ascii="仿宋_GB2312" w:hAnsi="CESI仿宋-GB2312" w:eastAsia="仿宋_GB2312" w:cs="CESI仿宋-GB2312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楷体_GBK" w:eastAsia="仿宋_GB2312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</w:rPr>
              <w:t>专利申请</w:t>
            </w: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楷体_GBK" w:eastAsia="仿宋_GB2312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</w:rPr>
              <w:t>发明专利申请</w:t>
            </w: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楷体_GBK" w:eastAsia="仿宋_GB2312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</w:rPr>
              <w:t>专利授权</w:t>
            </w: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楷体_GBK" w:eastAsia="仿宋_GB2312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</w:rPr>
              <w:t>发明专利授权</w:t>
            </w: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楷体_GBK" w:eastAsia="仿宋_GB2312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</w:rPr>
              <w:t>有效发明专利</w:t>
            </w:r>
          </w:p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</w:rPr>
              <w:t>（截至期末）</w:t>
            </w: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楷体_GBK" w:eastAsia="仿宋_GB2312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  <w:r>
              <w:rPr>
                <w:rFonts w:ascii="仿宋_GB2312" w:hAnsi="CESI仿宋-GB2312" w:eastAsia="仿宋_GB2312" w:cs="CESI仿宋-GB2312"/>
                <w:sz w:val="24"/>
              </w:rPr>
              <w:t>PCT</w:t>
            </w:r>
            <w:r>
              <w:rPr>
                <w:rFonts w:hint="eastAsia" w:ascii="仿宋_GB2312" w:hAnsi="CESI仿宋-GB2312" w:eastAsia="仿宋_GB2312" w:cs="CESI仿宋-GB2312"/>
                <w:sz w:val="24"/>
              </w:rPr>
              <w:t>国际专利申请</w:t>
            </w: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楷体_GBK" w:eastAsia="仿宋_GB2312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</w:rPr>
              <w:t>海外授权专利</w:t>
            </w:r>
          </w:p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</w:rPr>
              <w:t>（截至期末）</w:t>
            </w: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楷体_GBK" w:eastAsia="仿宋_GB2312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</w:rPr>
              <w:t>获得中国专利奖</w:t>
            </w:r>
            <w:r>
              <w:rPr>
                <w:rFonts w:ascii="仿宋_GB2312" w:hAnsi="CESI仿宋-GB2312" w:eastAsia="仿宋_GB2312" w:cs="CESI仿宋-GB2312"/>
                <w:sz w:val="24"/>
              </w:rPr>
              <w:t>/</w:t>
            </w:r>
            <w:r>
              <w:rPr>
                <w:rFonts w:hint="eastAsia" w:ascii="仿宋_GB2312" w:hAnsi="CESI仿宋-GB2312" w:eastAsia="仿宋_GB2312" w:cs="CESI仿宋-GB2312"/>
                <w:sz w:val="24"/>
              </w:rPr>
              <w:t>湖北省专利奖的专利</w:t>
            </w:r>
          </w:p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</w:rPr>
              <w:t>（截至期末）</w:t>
            </w: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楷体_GBK" w:eastAsia="仿宋_GB2312"/>
                <w:sz w:val="24"/>
              </w:rPr>
            </w:pPr>
          </w:p>
        </w:tc>
        <w:tc>
          <w:tcPr>
            <w:tcW w:w="2310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</w:rPr>
              <w:t>制定或参与制定标准数量</w:t>
            </w: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ESI仿宋-GB2312" w:eastAsia="仿宋_GB2312" w:cs="CESI仿宋-GB2312"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</w:rPr>
              <w:t>国家标准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ESI仿宋-GB2312" w:eastAsia="仿宋_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楷体_GBK" w:eastAsia="仿宋_GB2312"/>
                <w:sz w:val="24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ESI仿宋-GB2312" w:eastAsia="仿宋_GB2312" w:cs="CESI仿宋-GB2312"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</w:rPr>
              <w:t>行业标准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ESI仿宋-GB2312" w:eastAsia="仿宋_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楷体_GBK" w:eastAsia="仿宋_GB2312"/>
                <w:sz w:val="24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ESI仿宋-GB2312" w:eastAsia="仿宋_GB2312" w:cs="CESI仿宋-GB2312"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</w:rPr>
              <w:t>地方标准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ESI仿宋-GB2312" w:eastAsia="仿宋_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spacing w:line="320" w:lineRule="exact"/>
              <w:ind w:left="-76" w:leftChars="-36"/>
              <w:jc w:val="center"/>
              <w:rPr>
                <w:rFonts w:ascii="仿宋_GB2312" w:hAnsi="方正楷体_GBK" w:eastAsia="仿宋_GB2312"/>
                <w:sz w:val="24"/>
              </w:rPr>
            </w:pPr>
            <w:r>
              <w:rPr>
                <w:rFonts w:hint="eastAsia" w:ascii="仿宋_GB2312" w:hAnsi="方正楷体_GBK" w:eastAsia="仿宋_GB2312"/>
                <w:sz w:val="24"/>
              </w:rPr>
              <w:t>主导产品</w:t>
            </w:r>
          </w:p>
          <w:p>
            <w:pPr>
              <w:spacing w:line="320" w:lineRule="exact"/>
              <w:ind w:left="-76" w:leftChars="-36"/>
              <w:jc w:val="center"/>
              <w:rPr>
                <w:rFonts w:ascii="仿宋_GB2312" w:hAnsi="方正楷体_GBK" w:eastAsia="仿宋_GB2312"/>
                <w:sz w:val="24"/>
              </w:rPr>
            </w:pPr>
            <w:r>
              <w:rPr>
                <w:rFonts w:hint="eastAsia" w:ascii="仿宋_GB2312" w:hAnsi="方正楷体_GBK" w:eastAsia="仿宋_GB2312"/>
                <w:spacing w:val="-20"/>
                <w:sz w:val="24"/>
              </w:rPr>
              <w:t>（研</w:t>
            </w:r>
            <w:r>
              <w:rPr>
                <w:rFonts w:hint="eastAsia" w:ascii="仿宋_GB2312" w:hAnsi="方正楷体_GBK" w:eastAsia="仿宋_GB2312"/>
                <w:sz w:val="24"/>
              </w:rPr>
              <w:t>发领</w:t>
            </w:r>
            <w:r>
              <w:rPr>
                <w:rFonts w:hint="eastAsia" w:ascii="仿宋_GB2312" w:hAnsi="方正楷体_GBK" w:eastAsia="仿宋_GB2312"/>
                <w:spacing w:val="-20"/>
                <w:sz w:val="24"/>
              </w:rPr>
              <w:t>域）</w:t>
            </w:r>
          </w:p>
        </w:tc>
        <w:tc>
          <w:tcPr>
            <w:tcW w:w="39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ESI仿宋-GB2312" w:eastAsia="仿宋_GB2312" w:cs="CESI仿宋-GB2312"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</w:rPr>
              <w:t>产品名称（研发领域）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ESI仿宋-GB2312" w:eastAsia="仿宋_GB2312" w:cs="CESI仿宋-GB2312"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</w:rPr>
              <w:t>有效专利数量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楷体_GBK" w:eastAsia="仿宋_GB2312"/>
                <w:sz w:val="24"/>
              </w:rPr>
            </w:pPr>
          </w:p>
        </w:tc>
        <w:tc>
          <w:tcPr>
            <w:tcW w:w="39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ESI仿宋-GB2312" w:eastAsia="仿宋_GB2312" w:cs="CESI仿宋-GB2312"/>
                <w:sz w:val="24"/>
              </w:rPr>
            </w:pPr>
          </w:p>
        </w:tc>
        <w:tc>
          <w:tcPr>
            <w:tcW w:w="3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ESI仿宋-GB2312" w:eastAsia="仿宋_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楷体_GBK" w:eastAsia="仿宋_GB2312"/>
                <w:sz w:val="24"/>
              </w:rPr>
            </w:pPr>
          </w:p>
        </w:tc>
        <w:tc>
          <w:tcPr>
            <w:tcW w:w="39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ESI仿宋-GB2312" w:eastAsia="仿宋_GB2312" w:cs="CESI仿宋-GB2312"/>
                <w:sz w:val="24"/>
              </w:rPr>
            </w:pPr>
          </w:p>
        </w:tc>
        <w:tc>
          <w:tcPr>
            <w:tcW w:w="3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ESI仿宋-GB2312" w:eastAsia="仿宋_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楷体_GBK" w:eastAsia="仿宋_GB2312"/>
                <w:sz w:val="24"/>
              </w:rPr>
            </w:pPr>
            <w:r>
              <w:rPr>
                <w:rFonts w:hint="eastAsia" w:ascii="仿宋_GB2312" w:hAnsi="方正楷体_GBK" w:eastAsia="仿宋_GB2312"/>
                <w:sz w:val="24"/>
              </w:rPr>
              <w:t>专利转化</w:t>
            </w:r>
          </w:p>
          <w:p>
            <w:pPr>
              <w:spacing w:line="320" w:lineRule="exact"/>
              <w:jc w:val="center"/>
              <w:rPr>
                <w:rFonts w:ascii="仿宋_GB2312" w:hAnsi="方正楷体_GBK" w:eastAsia="仿宋_GB2312"/>
                <w:sz w:val="24"/>
              </w:rPr>
            </w:pPr>
            <w:r>
              <w:rPr>
                <w:rFonts w:hint="eastAsia" w:ascii="仿宋_GB2312" w:hAnsi="方正楷体_GBK" w:eastAsia="仿宋_GB2312"/>
                <w:sz w:val="24"/>
              </w:rPr>
              <w:t>运用</w:t>
            </w:r>
          </w:p>
        </w:tc>
        <w:tc>
          <w:tcPr>
            <w:tcW w:w="231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</w:rPr>
              <w:t>专利转让数量</w:t>
            </w: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</w:rPr>
              <w:t>专利转让金额</w:t>
            </w:r>
          </w:p>
        </w:tc>
        <w:tc>
          <w:tcPr>
            <w:tcW w:w="142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楷体_GBK" w:eastAsia="仿宋_GB2312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</w:rPr>
              <w:t>专利许可数量</w:t>
            </w: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</w:rPr>
              <w:t>专利许可金额</w:t>
            </w:r>
          </w:p>
        </w:tc>
        <w:tc>
          <w:tcPr>
            <w:tcW w:w="142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楷体_GBK" w:eastAsia="仿宋_GB2312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</w:rPr>
              <w:t>专利质押贷款数量</w:t>
            </w: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</w:rPr>
              <w:t>专利质押贷款金额</w:t>
            </w:r>
          </w:p>
        </w:tc>
        <w:tc>
          <w:tcPr>
            <w:tcW w:w="142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楷体_GBK" w:eastAsia="仿宋_GB2312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</w:rPr>
              <w:t>专利池</w:t>
            </w:r>
            <w:r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  <w:t>建设</w:t>
            </w:r>
          </w:p>
        </w:tc>
        <w:tc>
          <w:tcPr>
            <w:tcW w:w="488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CESI仿宋-GB2312" w:eastAsia="仿宋_GB2312" w:cs="CESI仿宋-GB2312"/>
                <w:sz w:val="24"/>
              </w:rPr>
            </w:pPr>
          </w:p>
        </w:tc>
      </w:tr>
    </w:tbl>
    <w:p>
      <w:pPr>
        <w:snapToGrid w:val="0"/>
        <w:spacing w:line="360" w:lineRule="auto"/>
        <w:ind w:right="-6" w:firstLine="640" w:firstLineChars="200"/>
        <w:rPr>
          <w:rFonts w:hint="eastAsia" w:ascii="黑体" w:eastAsia="黑体"/>
          <w:color w:val="000000"/>
          <w:sz w:val="32"/>
          <w:szCs w:val="32"/>
        </w:rPr>
      </w:pPr>
    </w:p>
    <w:p>
      <w:pPr>
        <w:snapToGrid w:val="0"/>
        <w:spacing w:line="360" w:lineRule="auto"/>
        <w:ind w:right="-6"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五</w:t>
      </w:r>
      <w:r>
        <w:rPr>
          <w:rFonts w:ascii="黑体" w:eastAsia="黑体"/>
          <w:color w:val="000000"/>
          <w:sz w:val="32"/>
          <w:szCs w:val="32"/>
        </w:rPr>
        <w:t>、项目</w:t>
      </w:r>
      <w:r>
        <w:rPr>
          <w:rFonts w:hint="eastAsia" w:ascii="黑体" w:eastAsia="黑体"/>
          <w:color w:val="000000"/>
          <w:sz w:val="32"/>
          <w:szCs w:val="32"/>
        </w:rPr>
        <w:t>组</w:t>
      </w:r>
      <w:r>
        <w:rPr>
          <w:rFonts w:ascii="黑体" w:eastAsia="黑体"/>
          <w:color w:val="000000"/>
          <w:sz w:val="32"/>
          <w:szCs w:val="32"/>
        </w:rPr>
        <w:t>成员</w:t>
      </w:r>
    </w:p>
    <w:tbl>
      <w:tblPr>
        <w:tblStyle w:val="10"/>
        <w:tblW w:w="9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083"/>
        <w:gridCol w:w="1574"/>
        <w:gridCol w:w="1143"/>
        <w:gridCol w:w="1041"/>
        <w:gridCol w:w="2148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204"/>
              </w:tabs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项目组</w:t>
            </w:r>
          </w:p>
        </w:tc>
        <w:tc>
          <w:tcPr>
            <w:tcW w:w="1083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4"/>
              </w:tabs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职务</w:t>
            </w: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  <w:lang w:val="en"/>
              </w:rPr>
              <w:t>/</w:t>
            </w: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14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04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14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5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职责分工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095" w:type="dxa"/>
            <w:tcBorders>
              <w:left w:val="single" w:color="auto" w:sz="4" w:space="0"/>
            </w:tcBorders>
          </w:tcPr>
          <w:p>
            <w:pPr>
              <w:tabs>
                <w:tab w:val="left" w:pos="204"/>
              </w:tabs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项目</w:t>
            </w:r>
          </w:p>
          <w:p>
            <w:pPr>
              <w:tabs>
                <w:tab w:val="left" w:pos="204"/>
              </w:tabs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083" w:type="dxa"/>
            <w:vAlign w:val="center"/>
          </w:tcPr>
          <w:p>
            <w:pPr>
              <w:tabs>
                <w:tab w:val="left" w:pos="204"/>
              </w:tabs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09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204"/>
              </w:tabs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项目组主要成员</w:t>
            </w:r>
          </w:p>
        </w:tc>
        <w:tc>
          <w:tcPr>
            <w:tcW w:w="1083" w:type="dxa"/>
            <w:vAlign w:val="center"/>
          </w:tcPr>
          <w:p>
            <w:pPr>
              <w:tabs>
                <w:tab w:val="left" w:pos="204"/>
              </w:tabs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</w:tcBorders>
          </w:tcPr>
          <w:p>
            <w:pPr>
              <w:tabs>
                <w:tab w:val="left" w:pos="204"/>
              </w:tabs>
              <w:jc w:val="center"/>
              <w:rPr>
                <w:rFonts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>
            <w:pPr>
              <w:tabs>
                <w:tab w:val="left" w:pos="204"/>
              </w:tabs>
              <w:jc w:val="center"/>
              <w:rPr>
                <w:rFonts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>
            <w:pPr>
              <w:rPr>
                <w:rFonts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rPr>
                <w:rFonts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>
            <w:pPr>
              <w:rPr>
                <w:rFonts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bottom w:val="nil"/>
            </w:tcBorders>
          </w:tcPr>
          <w:p>
            <w:pPr>
              <w:tabs>
                <w:tab w:val="left" w:pos="204"/>
              </w:tabs>
              <w:jc w:val="center"/>
              <w:rPr>
                <w:rFonts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>
            <w:pPr>
              <w:tabs>
                <w:tab w:val="left" w:pos="204"/>
              </w:tabs>
              <w:jc w:val="center"/>
              <w:rPr>
                <w:rFonts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</w:tcBorders>
          </w:tcPr>
          <w:p>
            <w:pPr>
              <w:tabs>
                <w:tab w:val="left" w:pos="204"/>
              </w:tabs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>
            <w:pPr>
              <w:tabs>
                <w:tab w:val="left" w:pos="204"/>
              </w:tabs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</w:tcBorders>
          </w:tcPr>
          <w:p>
            <w:pPr>
              <w:tabs>
                <w:tab w:val="left" w:pos="204"/>
              </w:tabs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>
            <w:pPr>
              <w:tabs>
                <w:tab w:val="left" w:pos="204"/>
              </w:tabs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ind w:right="-6"/>
        <w:rPr>
          <w:rFonts w:hint="eastAsia" w:ascii="黑体" w:eastAsia="黑体"/>
          <w:color w:val="000000"/>
          <w:sz w:val="32"/>
          <w:szCs w:val="32"/>
        </w:rPr>
      </w:pPr>
    </w:p>
    <w:p>
      <w:pPr>
        <w:snapToGrid w:val="0"/>
        <w:spacing w:line="360" w:lineRule="auto"/>
        <w:ind w:right="-6"/>
        <w:rPr>
          <w:rFonts w:hint="eastAsia" w:ascii="黑体" w:eastAsia="黑体"/>
          <w:color w:val="000000"/>
          <w:sz w:val="32"/>
          <w:szCs w:val="32"/>
        </w:rPr>
      </w:pPr>
    </w:p>
    <w:p>
      <w:pPr>
        <w:snapToGrid w:val="0"/>
        <w:spacing w:line="360" w:lineRule="auto"/>
        <w:ind w:right="-6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六、项目经费预算</w:t>
      </w:r>
    </w:p>
    <w:p>
      <w:pPr>
        <w:snapToGrid w:val="0"/>
        <w:spacing w:line="360" w:lineRule="auto"/>
        <w:ind w:right="-6" w:firstLine="7440" w:firstLineChars="3100"/>
        <w:rPr>
          <w:rFonts w:ascii="仿宋" w:hAnsi="仿宋" w:eastAsia="仿宋" w:cs="CESI仿宋-GB2312"/>
          <w:color w:val="000000"/>
          <w:sz w:val="24"/>
          <w:szCs w:val="24"/>
        </w:rPr>
      </w:pPr>
      <w:r>
        <w:rPr>
          <w:rFonts w:hint="eastAsia" w:ascii="仿宋" w:hAnsi="仿宋" w:eastAsia="仿宋" w:cs="CESI仿宋-GB2312"/>
          <w:color w:val="000000"/>
          <w:sz w:val="24"/>
          <w:szCs w:val="24"/>
        </w:rPr>
        <w:t xml:space="preserve">单位：万元                                               </w:t>
      </w:r>
    </w:p>
    <w:tbl>
      <w:tblPr>
        <w:tblStyle w:val="10"/>
        <w:tblW w:w="9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3939"/>
        <w:gridCol w:w="2103"/>
        <w:gridCol w:w="3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资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金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来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源</w:t>
            </w:r>
          </w:p>
        </w:tc>
        <w:tc>
          <w:tcPr>
            <w:tcW w:w="39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资金来源</w:t>
            </w:r>
          </w:p>
        </w:tc>
        <w:tc>
          <w:tcPr>
            <w:tcW w:w="21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金  额</w:t>
            </w:r>
          </w:p>
        </w:tc>
        <w:tc>
          <w:tcPr>
            <w:tcW w:w="307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2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合  计</w:t>
            </w:r>
          </w:p>
        </w:tc>
        <w:tc>
          <w:tcPr>
            <w:tcW w:w="21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22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1.省知识产权局专项经费</w:t>
            </w:r>
          </w:p>
        </w:tc>
        <w:tc>
          <w:tcPr>
            <w:tcW w:w="2103" w:type="dxa"/>
          </w:tcPr>
          <w:p>
            <w:pPr>
              <w:spacing w:line="400" w:lineRule="exact"/>
              <w:ind w:firstLine="960" w:firstLineChars="400"/>
              <w:rPr>
                <w:rFonts w:hint="default" w:ascii="仿宋" w:hAnsi="仿宋" w:eastAsia="仿宋" w:cs="CESI仿宋-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078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22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2.单位自筹</w:t>
            </w:r>
          </w:p>
        </w:tc>
        <w:tc>
          <w:tcPr>
            <w:tcW w:w="2103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722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3.地方财政配套资金</w:t>
            </w:r>
          </w:p>
        </w:tc>
        <w:tc>
          <w:tcPr>
            <w:tcW w:w="2103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22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2103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省财政专项经费支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出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预算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经费开支内容</w:t>
            </w:r>
          </w:p>
        </w:tc>
        <w:tc>
          <w:tcPr>
            <w:tcW w:w="21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预算金额</w:t>
            </w:r>
          </w:p>
        </w:tc>
        <w:tc>
          <w:tcPr>
            <w:tcW w:w="307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2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snapToGrid w:val="0"/>
              <w:rPr>
                <w:rFonts w:ascii="仿宋" w:hAnsi="仿宋" w:eastAsia="仿宋" w:cs="CESI仿宋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3" w:type="dxa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2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snapToGrid w:val="0"/>
              <w:rPr>
                <w:rFonts w:ascii="仿宋" w:hAnsi="仿宋" w:eastAsia="仿宋" w:cs="CESI仿宋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3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2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snapToGrid w:val="0"/>
              <w:rPr>
                <w:rFonts w:ascii="仿宋" w:hAnsi="仿宋" w:eastAsia="仿宋" w:cs="CESI仿宋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3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2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snapToGrid w:val="0"/>
              <w:rPr>
                <w:rFonts w:ascii="仿宋" w:hAnsi="仿宋" w:eastAsia="仿宋" w:cs="CESI仿宋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3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2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snapToGrid w:val="0"/>
              <w:rPr>
                <w:rFonts w:ascii="仿宋" w:hAnsi="仿宋" w:eastAsia="仿宋" w:cs="CESI仿宋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3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2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snapToGrid w:val="0"/>
              <w:rPr>
                <w:rFonts w:ascii="仿宋" w:hAnsi="仿宋" w:eastAsia="仿宋" w:cs="CESI仿宋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3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2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snapToGrid w:val="0"/>
              <w:rPr>
                <w:rFonts w:ascii="仿宋" w:hAnsi="仿宋" w:eastAsia="仿宋" w:cs="CESI仿宋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3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2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2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2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2103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2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103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</w:tbl>
    <w:p>
      <w:pPr>
        <w:pStyle w:val="22"/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firstLine="0"/>
        <w:textAlignment w:val="auto"/>
        <w:rPr>
          <w:rFonts w:ascii="仿宋" w:hAnsi="仿宋" w:eastAsia="仿宋" w:cs="CESI仿宋-GB2312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CESI仿宋-GB2312"/>
          <w:color w:val="000000"/>
          <w:spacing w:val="0"/>
          <w:sz w:val="24"/>
          <w:szCs w:val="24"/>
        </w:rPr>
        <w:t>（备注：1.绩效支出比例一般不超过财政拨款经费扣除设备购置费后的40%；2.管理费和其它费用总和不得超过财政拨款经费的5%</w:t>
      </w:r>
      <w:r>
        <w:rPr>
          <w:rFonts w:hint="eastAsia" w:ascii="仿宋" w:hAnsi="仿宋" w:eastAsia="仿宋" w:cs="CESI仿宋-GB2312"/>
          <w:color w:val="000000"/>
          <w:spacing w:val="0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CESI仿宋-GB2312"/>
          <w:color w:val="000000"/>
          <w:spacing w:val="0"/>
          <w:sz w:val="24"/>
          <w:szCs w:val="24"/>
          <w:lang w:val="en-US" w:eastAsia="zh-CN"/>
        </w:rPr>
        <w:t>3.专项资金用于高价值专利培育、专利信息分析利用、数据采集、重大产品专利布局、建立完善知识产权管理制度、开展知识产权人才培养、举办知识产权专项培训等，不得用于专利申请、维护费用。</w:t>
      </w:r>
      <w:r>
        <w:rPr>
          <w:rFonts w:hint="eastAsia" w:ascii="仿宋" w:hAnsi="仿宋" w:eastAsia="仿宋" w:cs="CESI仿宋-GB2312"/>
          <w:color w:val="000000"/>
          <w:spacing w:val="0"/>
          <w:sz w:val="24"/>
          <w:szCs w:val="24"/>
        </w:rPr>
        <w:t>）</w:t>
      </w:r>
    </w:p>
    <w:p>
      <w:pPr>
        <w:widowControl/>
        <w:ind w:firstLine="640" w:firstLineChars="200"/>
        <w:jc w:val="left"/>
        <w:rPr>
          <w:rFonts w:hint="eastAsia" w:ascii="黑体" w:eastAsia="黑体"/>
          <w:color w:val="000000"/>
          <w:sz w:val="32"/>
        </w:rPr>
      </w:pPr>
    </w:p>
    <w:p>
      <w:pPr>
        <w:widowControl/>
        <w:ind w:firstLine="640" w:firstLineChars="200"/>
        <w:jc w:val="left"/>
        <w:rPr>
          <w:rFonts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七、共同条款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仿宋_GB2312" w:hAnsi="Times New Roman" w:eastAsia="仿宋_GB2312" w:cs="Times New Roman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left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1、</w:t>
      </w:r>
      <w:r>
        <w:rPr>
          <w:rFonts w:ascii="仿宋_GB2312" w:eastAsia="仿宋_GB2312"/>
          <w:color w:val="000000"/>
          <w:sz w:val="30"/>
          <w:szCs w:val="30"/>
        </w:rPr>
        <w:t>项目属于后补助</w:t>
      </w:r>
      <w:r>
        <w:rPr>
          <w:rFonts w:hint="eastAsia" w:ascii="仿宋_GB2312" w:eastAsia="仿宋_GB2312"/>
          <w:color w:val="000000"/>
          <w:sz w:val="30"/>
          <w:szCs w:val="30"/>
        </w:rPr>
        <w:t>经</w:t>
      </w:r>
      <w:r>
        <w:rPr>
          <w:rFonts w:ascii="仿宋_GB2312" w:eastAsia="仿宋_GB2312"/>
          <w:color w:val="000000"/>
          <w:sz w:val="30"/>
          <w:szCs w:val="30"/>
        </w:rPr>
        <w:t>费</w:t>
      </w:r>
      <w:r>
        <w:rPr>
          <w:rFonts w:hint="eastAsia" w:ascii="仿宋_GB2312" w:eastAsia="仿宋_GB2312"/>
          <w:color w:val="000000"/>
          <w:sz w:val="30"/>
          <w:szCs w:val="30"/>
        </w:rPr>
        <w:t>，</w:t>
      </w:r>
      <w:r>
        <w:rPr>
          <w:rFonts w:ascii="仿宋_GB2312" w:eastAsia="仿宋_GB2312"/>
          <w:color w:val="000000"/>
          <w:sz w:val="30"/>
          <w:szCs w:val="30"/>
        </w:rPr>
        <w:t>需</w:t>
      </w:r>
      <w:r>
        <w:rPr>
          <w:rFonts w:hint="eastAsia" w:ascii="仿宋_GB2312" w:eastAsia="仿宋_GB2312"/>
          <w:color w:val="000000"/>
          <w:sz w:val="30"/>
          <w:szCs w:val="30"/>
        </w:rPr>
        <w:t>乙</w:t>
      </w:r>
      <w:r>
        <w:rPr>
          <w:rFonts w:ascii="仿宋_GB2312" w:eastAsia="仿宋_GB2312"/>
          <w:color w:val="000000"/>
          <w:sz w:val="30"/>
          <w:szCs w:val="30"/>
        </w:rPr>
        <w:t>方</w:t>
      </w:r>
      <w:r>
        <w:rPr>
          <w:rFonts w:hint="eastAsia" w:ascii="仿宋_GB2312" w:eastAsia="仿宋_GB2312"/>
          <w:color w:val="000000"/>
          <w:sz w:val="30"/>
          <w:szCs w:val="30"/>
        </w:rPr>
        <w:t>在</w:t>
      </w:r>
      <w:r>
        <w:rPr>
          <w:rFonts w:ascii="仿宋_GB2312" w:eastAsia="仿宋_GB2312"/>
          <w:color w:val="000000"/>
          <w:sz w:val="30"/>
          <w:szCs w:val="30"/>
        </w:rPr>
        <w:t>项目</w:t>
      </w:r>
      <w:r>
        <w:rPr>
          <w:rFonts w:hint="eastAsia" w:ascii="仿宋_GB2312" w:eastAsia="仿宋_GB2312"/>
          <w:color w:val="000000"/>
          <w:sz w:val="30"/>
          <w:szCs w:val="30"/>
        </w:rPr>
        <w:t>通过</w:t>
      </w:r>
      <w:r>
        <w:rPr>
          <w:rFonts w:ascii="仿宋_GB2312" w:eastAsia="仿宋_GB2312"/>
          <w:color w:val="000000"/>
          <w:sz w:val="30"/>
          <w:szCs w:val="30"/>
        </w:rPr>
        <w:t>验收后予以拨付</w:t>
      </w:r>
      <w:r>
        <w:rPr>
          <w:rFonts w:hint="eastAsia" w:ascii="仿宋_GB2312" w:eastAsia="仿宋_GB2312"/>
          <w:color w:val="000000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2、乙方必须按期报送项目阶段执行情况、相关数据和资料，经丙方审核后报甲方。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25"/>
        <w:textAlignment w:val="auto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3、乙方应当遵循国家有关法律法规和财政管理制度，做到专款专用，项目经费须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随时</w:t>
      </w:r>
      <w:r>
        <w:rPr>
          <w:rFonts w:hint="eastAsia" w:ascii="仿宋_GB2312" w:eastAsia="仿宋_GB2312"/>
          <w:color w:val="000000"/>
          <w:sz w:val="30"/>
          <w:szCs w:val="30"/>
        </w:rPr>
        <w:t>接受甲方和省、市财政、审计部门等的监督检查。丙方应积极参与项目实施管理。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25"/>
        <w:textAlignment w:val="auto"/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4、乙方应当诚信守法经营，遇有重大经营变更事项且可能影响到项目任务执行的，乙方应当及时向丙方及甲方报告。乙方因经营问题或发生严重违法违纪行为，不适合在任务期内继续承担项目任务的，甲方有权决定是否收回项目经费，乙方必须积极配合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25"/>
        <w:textAlignment w:val="auto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0"/>
          <w:szCs w:val="30"/>
        </w:rPr>
        <w:t>、本任务书是项目管理、项目验收的主要依据，任务书签订后，除不可抗拒因素，原则上不予修改。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25"/>
        <w:textAlignment w:val="auto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0"/>
          <w:szCs w:val="30"/>
        </w:rPr>
        <w:t>、本任务书各方均负有相应的责任。若有争议或纠纷时，按有关管理办法条款处理。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25"/>
        <w:textAlignment w:val="auto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0"/>
          <w:szCs w:val="30"/>
        </w:rPr>
        <w:t>、未尽事宜，各方协商解决。</w:t>
      </w:r>
    </w:p>
    <w:p>
      <w:pPr>
        <w:snapToGrid w:val="0"/>
        <w:spacing w:line="360" w:lineRule="auto"/>
        <w:ind w:right="-6" w:firstLine="640" w:firstLineChars="200"/>
        <w:rPr>
          <w:rFonts w:hint="eastAsia" w:ascii="黑体" w:eastAsia="黑体"/>
          <w:color w:val="000000"/>
          <w:sz w:val="32"/>
          <w:szCs w:val="32"/>
        </w:rPr>
      </w:pPr>
    </w:p>
    <w:p>
      <w:pPr>
        <w:snapToGrid w:val="0"/>
        <w:spacing w:line="360" w:lineRule="auto"/>
        <w:ind w:right="-6" w:firstLine="640" w:firstLineChars="200"/>
        <w:rPr>
          <w:rFonts w:hint="eastAsia" w:ascii="黑体" w:eastAsia="黑体"/>
          <w:color w:val="000000"/>
          <w:sz w:val="32"/>
          <w:szCs w:val="32"/>
        </w:rPr>
      </w:pPr>
    </w:p>
    <w:p>
      <w:pPr>
        <w:snapToGrid w:val="0"/>
        <w:spacing w:line="360" w:lineRule="auto"/>
        <w:ind w:right="-6" w:firstLine="640" w:firstLineChars="200"/>
        <w:rPr>
          <w:rFonts w:hint="eastAsia" w:ascii="黑体" w:eastAsia="黑体"/>
          <w:color w:val="000000"/>
          <w:sz w:val="32"/>
          <w:szCs w:val="32"/>
        </w:rPr>
      </w:pPr>
    </w:p>
    <w:p>
      <w:pPr>
        <w:snapToGrid w:val="0"/>
        <w:spacing w:line="360" w:lineRule="auto"/>
        <w:ind w:right="-6" w:firstLine="640" w:firstLineChars="200"/>
        <w:rPr>
          <w:rFonts w:hint="eastAsia" w:ascii="黑体" w:eastAsia="黑体"/>
          <w:color w:val="000000"/>
          <w:sz w:val="32"/>
          <w:szCs w:val="32"/>
        </w:rPr>
      </w:pPr>
    </w:p>
    <w:p>
      <w:pPr>
        <w:snapToGrid w:val="0"/>
        <w:spacing w:line="360" w:lineRule="auto"/>
        <w:ind w:right="-6" w:firstLine="640" w:firstLineChars="200"/>
        <w:rPr>
          <w:rFonts w:hint="eastAsia" w:ascii="黑体" w:eastAsia="黑体"/>
          <w:color w:val="000000"/>
          <w:sz w:val="32"/>
          <w:szCs w:val="32"/>
        </w:rPr>
      </w:pPr>
    </w:p>
    <w:p>
      <w:pPr>
        <w:snapToGrid w:val="0"/>
        <w:spacing w:line="360" w:lineRule="auto"/>
        <w:ind w:right="-6" w:firstLine="640" w:firstLineChars="200"/>
        <w:rPr>
          <w:rFonts w:hint="eastAsia" w:ascii="黑体" w:eastAsia="黑体"/>
          <w:color w:val="000000"/>
          <w:sz w:val="30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八、签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章</w:t>
      </w:r>
    </w:p>
    <w:tbl>
      <w:tblPr>
        <w:tblStyle w:val="10"/>
        <w:tblW w:w="9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2028"/>
        <w:gridCol w:w="1617"/>
        <w:gridCol w:w="1239"/>
        <w:gridCol w:w="230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509" w:type="dxa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甲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方</w:t>
            </w: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单位名称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湖北</w:t>
            </w:r>
            <w:r>
              <w:rPr>
                <w:rFonts w:eastAsia="仿宋_GB2312"/>
                <w:color w:val="000000"/>
                <w:sz w:val="24"/>
              </w:rPr>
              <w:t>省知识产权局</w:t>
            </w:r>
          </w:p>
        </w:tc>
        <w:tc>
          <w:tcPr>
            <w:tcW w:w="1859" w:type="dxa"/>
            <w:vMerge w:val="restart"/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（签章）</w:t>
            </w:r>
          </w:p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代表人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李述武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职务</w:t>
            </w:r>
          </w:p>
        </w:tc>
        <w:tc>
          <w:tcPr>
            <w:tcW w:w="230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副局长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项目联系人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atLeast"/>
              <w:jc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杨树彬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所在处室</w:t>
            </w:r>
          </w:p>
        </w:tc>
        <w:tc>
          <w:tcPr>
            <w:tcW w:w="230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规划发展</w:t>
            </w:r>
            <w:r>
              <w:rPr>
                <w:rFonts w:eastAsia="仿宋_GB2312"/>
                <w:color w:val="000000"/>
                <w:sz w:val="24"/>
              </w:rPr>
              <w:t>处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027-86759072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传真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电子邮</w:t>
            </w:r>
            <w:r>
              <w:rPr>
                <w:rFonts w:eastAsia="仿宋_GB2312"/>
                <w:color w:val="000000"/>
                <w:sz w:val="24"/>
              </w:rPr>
              <w:t>箱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hint="default" w:eastAsia="仿宋_GB2312"/>
                <w:color w:val="000000"/>
                <w:sz w:val="24"/>
                <w:lang w:val="en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593717276@</w:t>
            </w:r>
            <w:r>
              <w:rPr>
                <w:rFonts w:hint="default" w:eastAsia="仿宋_GB2312"/>
                <w:color w:val="000000"/>
                <w:sz w:val="24"/>
                <w:lang w:val="en" w:eastAsia="zh-CN"/>
              </w:rPr>
              <w:t>qq.com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地址及邮编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sz w:val="24"/>
                <w:lang w:val="en" w:eastAsia="zh-CN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湖北</w:t>
            </w:r>
            <w:r>
              <w:rPr>
                <w:rFonts w:eastAsia="仿宋_GB2312"/>
                <w:color w:val="000000"/>
                <w:sz w:val="24"/>
              </w:rPr>
              <w:t>省武汉市</w:t>
            </w:r>
            <w:r>
              <w:rPr>
                <w:rFonts w:hint="eastAsia" w:eastAsia="仿宋_GB2312"/>
                <w:color w:val="000000"/>
                <w:sz w:val="24"/>
              </w:rPr>
              <w:t>武昌区</w:t>
            </w:r>
            <w:r>
              <w:rPr>
                <w:rFonts w:eastAsia="仿宋_GB2312"/>
                <w:color w:val="000000"/>
                <w:sz w:val="24"/>
              </w:rPr>
              <w:t>公正路</w:t>
            </w:r>
            <w:r>
              <w:rPr>
                <w:rFonts w:hint="eastAsia" w:eastAsia="仿宋_GB2312"/>
                <w:color w:val="000000"/>
                <w:sz w:val="24"/>
              </w:rPr>
              <w:t>19号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省知识产权局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邮编：430071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509" w:type="dxa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乙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方</w:t>
            </w: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单位名称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859" w:type="dxa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（签章）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月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日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项目</w:t>
            </w:r>
            <w:r>
              <w:rPr>
                <w:rFonts w:eastAsia="仿宋_GB2312"/>
                <w:color w:val="000000"/>
                <w:sz w:val="24"/>
              </w:rPr>
              <w:t>负责人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职务</w:t>
            </w:r>
          </w:p>
        </w:tc>
        <w:tc>
          <w:tcPr>
            <w:tcW w:w="230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办公电话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手机</w:t>
            </w: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项目联系人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职务</w:t>
            </w:r>
          </w:p>
        </w:tc>
        <w:tc>
          <w:tcPr>
            <w:tcW w:w="230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</w:t>
            </w:r>
            <w:r>
              <w:rPr>
                <w:rFonts w:eastAsia="仿宋_GB2312"/>
                <w:color w:val="000000"/>
                <w:sz w:val="24"/>
              </w:rPr>
              <w:t>电话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电子邮</w:t>
            </w:r>
            <w:r>
              <w:rPr>
                <w:rFonts w:eastAsia="仿宋_GB2312"/>
                <w:color w:val="000000"/>
                <w:sz w:val="24"/>
              </w:rPr>
              <w:t>箱</w:t>
            </w:r>
          </w:p>
        </w:tc>
        <w:tc>
          <w:tcPr>
            <w:tcW w:w="230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地址及邮编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银行账户（全称）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开户银行（全称，含清算行号）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账号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509" w:type="dxa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丙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方</w:t>
            </w: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单位名称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（签章）</w:t>
            </w:r>
          </w:p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eastAsia="仿宋_GB2312"/>
                <w:color w:val="000000"/>
                <w:sz w:val="24"/>
              </w:rPr>
              <w:t>负责</w:t>
            </w:r>
            <w:r>
              <w:rPr>
                <w:rFonts w:eastAsia="仿宋_GB2312"/>
                <w:color w:val="000000"/>
                <w:sz w:val="24"/>
              </w:rPr>
              <w:t>人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职务</w:t>
            </w:r>
          </w:p>
        </w:tc>
        <w:tc>
          <w:tcPr>
            <w:tcW w:w="230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联系人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电话</w:t>
            </w:r>
          </w:p>
        </w:tc>
        <w:tc>
          <w:tcPr>
            <w:tcW w:w="230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地址及邮编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253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期限</w:t>
            </w:r>
          </w:p>
        </w:tc>
        <w:tc>
          <w:tcPr>
            <w:tcW w:w="7022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eastAsia="仿宋_GB2312"/>
                <w:color w:val="000000"/>
                <w:sz w:val="24"/>
              </w:rPr>
              <w:t xml:space="preserve">月至 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2026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eastAsia="仿宋_GB2312"/>
                <w:color w:val="000000"/>
                <w:sz w:val="24"/>
              </w:rPr>
              <w:t xml:space="preserve">月 </w:t>
            </w:r>
          </w:p>
        </w:tc>
      </w:tr>
    </w:tbl>
    <w:p>
      <w:pPr>
        <w:pStyle w:val="6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6" w:type="default"/>
      <w:pgSz w:w="11906" w:h="16838"/>
      <w:pgMar w:top="1588" w:right="1474" w:bottom="147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chapStyle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??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- 5 -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4098" o:spid="_x0000_s4098" o:spt="202" type="#_x0000_t202" style="position:absolute;left:0pt;margin-left:414.75pt;margin-top:0.1pt;height:16.3pt;width:27.95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  <w:rPr>
                    <w:rFonts w:ascii="宋体" w:cs="??"/>
                    <w:sz w:val="28"/>
                    <w:szCs w:val="44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- 10 -</w:t>
    </w:r>
    <w:r>
      <w:rPr>
        <w:rStyle w:val="13"/>
      </w:rPr>
      <w:fldChar w:fldCharType="end"/>
    </w:r>
  </w:p>
  <w:p>
    <w:pPr>
      <w:pStyle w:val="7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Style w:val="13"/>
        <w:rFonts w:ascii="宋体"/>
        <w:sz w:val="28"/>
        <w:szCs w:val="28"/>
      </w:rPr>
    </w:pPr>
    <w:r>
      <w:rPr>
        <w:sz w:val="28"/>
      </w:rP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91C3C"/>
    <w:rsid w:val="00147C6D"/>
    <w:rsid w:val="001A4E1B"/>
    <w:rsid w:val="001C3A9B"/>
    <w:rsid w:val="001F5F6C"/>
    <w:rsid w:val="00213B9B"/>
    <w:rsid w:val="00261485"/>
    <w:rsid w:val="003B458E"/>
    <w:rsid w:val="0041360E"/>
    <w:rsid w:val="004C7F28"/>
    <w:rsid w:val="004F485F"/>
    <w:rsid w:val="007019B6"/>
    <w:rsid w:val="00846E88"/>
    <w:rsid w:val="008F3DE6"/>
    <w:rsid w:val="00951FCF"/>
    <w:rsid w:val="00A353B5"/>
    <w:rsid w:val="00AF6023"/>
    <w:rsid w:val="00C214F4"/>
    <w:rsid w:val="00C67DD5"/>
    <w:rsid w:val="00CB2F94"/>
    <w:rsid w:val="00CC0EDC"/>
    <w:rsid w:val="00D01DD0"/>
    <w:rsid w:val="00D51802"/>
    <w:rsid w:val="00DE3995"/>
    <w:rsid w:val="00F33AD7"/>
    <w:rsid w:val="00FF1F44"/>
    <w:rsid w:val="01474E6B"/>
    <w:rsid w:val="03165AC1"/>
    <w:rsid w:val="050C55B2"/>
    <w:rsid w:val="066F391A"/>
    <w:rsid w:val="0BEA2C65"/>
    <w:rsid w:val="0C75FB9F"/>
    <w:rsid w:val="0CEEC585"/>
    <w:rsid w:val="0F765FC5"/>
    <w:rsid w:val="0FF25B7A"/>
    <w:rsid w:val="13F11C86"/>
    <w:rsid w:val="142E707D"/>
    <w:rsid w:val="1447053D"/>
    <w:rsid w:val="166A3848"/>
    <w:rsid w:val="16FC3A6D"/>
    <w:rsid w:val="17D680CB"/>
    <w:rsid w:val="1938453A"/>
    <w:rsid w:val="1BBF0261"/>
    <w:rsid w:val="1DEEA7D5"/>
    <w:rsid w:val="1EADEA3D"/>
    <w:rsid w:val="1EB77001"/>
    <w:rsid w:val="1F1B7EFA"/>
    <w:rsid w:val="22EF7D42"/>
    <w:rsid w:val="27F7D29E"/>
    <w:rsid w:val="28A12E51"/>
    <w:rsid w:val="2EFF60BA"/>
    <w:rsid w:val="2F5C5634"/>
    <w:rsid w:val="2F7A8718"/>
    <w:rsid w:val="2FAD0371"/>
    <w:rsid w:val="2FEF2A9B"/>
    <w:rsid w:val="30DE7E98"/>
    <w:rsid w:val="33CF5B1B"/>
    <w:rsid w:val="34F716DD"/>
    <w:rsid w:val="35FFA15A"/>
    <w:rsid w:val="36F5E057"/>
    <w:rsid w:val="37EEFB64"/>
    <w:rsid w:val="3AFF77CF"/>
    <w:rsid w:val="3B7FB77C"/>
    <w:rsid w:val="3BA045C4"/>
    <w:rsid w:val="3BF2FB9B"/>
    <w:rsid w:val="3BFF9796"/>
    <w:rsid w:val="3BFFC906"/>
    <w:rsid w:val="3C7E33B3"/>
    <w:rsid w:val="3D477BF1"/>
    <w:rsid w:val="3DD79B02"/>
    <w:rsid w:val="3E38A902"/>
    <w:rsid w:val="3ECD0898"/>
    <w:rsid w:val="3ECF3246"/>
    <w:rsid w:val="3EDFDA6F"/>
    <w:rsid w:val="3EF71305"/>
    <w:rsid w:val="3EFFA7FF"/>
    <w:rsid w:val="3F036156"/>
    <w:rsid w:val="3F7CF9C6"/>
    <w:rsid w:val="3F834BCA"/>
    <w:rsid w:val="3FA3376E"/>
    <w:rsid w:val="3FFFCE41"/>
    <w:rsid w:val="42BE76FA"/>
    <w:rsid w:val="46DC0FD9"/>
    <w:rsid w:val="481C51EC"/>
    <w:rsid w:val="48ED76F0"/>
    <w:rsid w:val="49757AAD"/>
    <w:rsid w:val="4AC4371C"/>
    <w:rsid w:val="4B4FCF37"/>
    <w:rsid w:val="4BBE1196"/>
    <w:rsid w:val="4BFCDCD5"/>
    <w:rsid w:val="4C767461"/>
    <w:rsid w:val="4DEDE576"/>
    <w:rsid w:val="4E8A36E2"/>
    <w:rsid w:val="4F9BEB17"/>
    <w:rsid w:val="4FA4D2B2"/>
    <w:rsid w:val="4FCF1F9E"/>
    <w:rsid w:val="4FD77B7D"/>
    <w:rsid w:val="4FEB22CF"/>
    <w:rsid w:val="5276688B"/>
    <w:rsid w:val="52A93A4F"/>
    <w:rsid w:val="52C64950"/>
    <w:rsid w:val="52C85C60"/>
    <w:rsid w:val="55BF390B"/>
    <w:rsid w:val="56345066"/>
    <w:rsid w:val="56660738"/>
    <w:rsid w:val="577B2FA7"/>
    <w:rsid w:val="57FF001A"/>
    <w:rsid w:val="57FF2FEF"/>
    <w:rsid w:val="59BF400D"/>
    <w:rsid w:val="59D3969A"/>
    <w:rsid w:val="5B9B9E84"/>
    <w:rsid w:val="5BEF2327"/>
    <w:rsid w:val="5BFEE3DA"/>
    <w:rsid w:val="5BFFA9D2"/>
    <w:rsid w:val="5C44340B"/>
    <w:rsid w:val="5D6F61CF"/>
    <w:rsid w:val="5DBF52E2"/>
    <w:rsid w:val="5DBFE5BF"/>
    <w:rsid w:val="5F046A8C"/>
    <w:rsid w:val="5F2F7970"/>
    <w:rsid w:val="5F77EADF"/>
    <w:rsid w:val="5FB69079"/>
    <w:rsid w:val="5FEF7E69"/>
    <w:rsid w:val="5FF77B9C"/>
    <w:rsid w:val="5FF7D135"/>
    <w:rsid w:val="5FFB0690"/>
    <w:rsid w:val="5FFEB2BC"/>
    <w:rsid w:val="602D076E"/>
    <w:rsid w:val="61AB9559"/>
    <w:rsid w:val="635752F5"/>
    <w:rsid w:val="64E8140A"/>
    <w:rsid w:val="65F6FC5E"/>
    <w:rsid w:val="65FFE72F"/>
    <w:rsid w:val="66696B1F"/>
    <w:rsid w:val="67CE76A3"/>
    <w:rsid w:val="67DF86A4"/>
    <w:rsid w:val="67F703C2"/>
    <w:rsid w:val="67FBE8DD"/>
    <w:rsid w:val="67FD20EB"/>
    <w:rsid w:val="67FF2CD1"/>
    <w:rsid w:val="68ED7616"/>
    <w:rsid w:val="691A5478"/>
    <w:rsid w:val="69DF89EF"/>
    <w:rsid w:val="69F95943"/>
    <w:rsid w:val="6B7CFD12"/>
    <w:rsid w:val="6B7DA73B"/>
    <w:rsid w:val="6BBD40BD"/>
    <w:rsid w:val="6BD718F9"/>
    <w:rsid w:val="6BDEB202"/>
    <w:rsid w:val="6C536C99"/>
    <w:rsid w:val="6D1B3E61"/>
    <w:rsid w:val="6D3FE314"/>
    <w:rsid w:val="6DEBA917"/>
    <w:rsid w:val="6DF9556A"/>
    <w:rsid w:val="6F6153EF"/>
    <w:rsid w:val="6F7F1B7E"/>
    <w:rsid w:val="6FD857C1"/>
    <w:rsid w:val="6FDE62E1"/>
    <w:rsid w:val="6FF3CC43"/>
    <w:rsid w:val="6FF62F5D"/>
    <w:rsid w:val="6FF706D8"/>
    <w:rsid w:val="6FF76B7D"/>
    <w:rsid w:val="6FFB06D2"/>
    <w:rsid w:val="6FFFD778"/>
    <w:rsid w:val="717F5112"/>
    <w:rsid w:val="71AB282D"/>
    <w:rsid w:val="71F17B50"/>
    <w:rsid w:val="737E7876"/>
    <w:rsid w:val="73FF4605"/>
    <w:rsid w:val="74394957"/>
    <w:rsid w:val="74B61CC1"/>
    <w:rsid w:val="75737777"/>
    <w:rsid w:val="75AD6928"/>
    <w:rsid w:val="7629633F"/>
    <w:rsid w:val="763F42D8"/>
    <w:rsid w:val="764FA29C"/>
    <w:rsid w:val="7679D3CB"/>
    <w:rsid w:val="76BA7C19"/>
    <w:rsid w:val="76BFA631"/>
    <w:rsid w:val="76FF7A02"/>
    <w:rsid w:val="777AA4ED"/>
    <w:rsid w:val="77D11A89"/>
    <w:rsid w:val="77D9810D"/>
    <w:rsid w:val="77FEA963"/>
    <w:rsid w:val="77FF1233"/>
    <w:rsid w:val="77FFB8DF"/>
    <w:rsid w:val="79E43F1C"/>
    <w:rsid w:val="79FC301E"/>
    <w:rsid w:val="7A770E0E"/>
    <w:rsid w:val="7A77537F"/>
    <w:rsid w:val="7ABF357F"/>
    <w:rsid w:val="7B7EB024"/>
    <w:rsid w:val="7B95C88A"/>
    <w:rsid w:val="7BAF67B7"/>
    <w:rsid w:val="7BBF7D2E"/>
    <w:rsid w:val="7BEE5420"/>
    <w:rsid w:val="7BFE9393"/>
    <w:rsid w:val="7BFF0DBE"/>
    <w:rsid w:val="7BFFDBC0"/>
    <w:rsid w:val="7C5FF054"/>
    <w:rsid w:val="7C6D40F8"/>
    <w:rsid w:val="7C7F7AC7"/>
    <w:rsid w:val="7CFE4846"/>
    <w:rsid w:val="7D071FBD"/>
    <w:rsid w:val="7D195356"/>
    <w:rsid w:val="7D9F4D9D"/>
    <w:rsid w:val="7DDF3A8C"/>
    <w:rsid w:val="7DEFD2E1"/>
    <w:rsid w:val="7E7C0A65"/>
    <w:rsid w:val="7E8F4297"/>
    <w:rsid w:val="7ED99677"/>
    <w:rsid w:val="7EEDF331"/>
    <w:rsid w:val="7EFBF8AF"/>
    <w:rsid w:val="7EFF9A44"/>
    <w:rsid w:val="7EFFD7FF"/>
    <w:rsid w:val="7F46DC5B"/>
    <w:rsid w:val="7F4CEC7D"/>
    <w:rsid w:val="7F4FFDC4"/>
    <w:rsid w:val="7F5BA036"/>
    <w:rsid w:val="7F5DFC47"/>
    <w:rsid w:val="7F5FDCAE"/>
    <w:rsid w:val="7F655A70"/>
    <w:rsid w:val="7F6BB303"/>
    <w:rsid w:val="7F7B22BB"/>
    <w:rsid w:val="7F7F9445"/>
    <w:rsid w:val="7FAD05FB"/>
    <w:rsid w:val="7FC9C666"/>
    <w:rsid w:val="7FCFD415"/>
    <w:rsid w:val="7FEBD997"/>
    <w:rsid w:val="7FEE0833"/>
    <w:rsid w:val="7FEFE142"/>
    <w:rsid w:val="7FF75850"/>
    <w:rsid w:val="7FF78599"/>
    <w:rsid w:val="7FFC477B"/>
    <w:rsid w:val="7FFD86B7"/>
    <w:rsid w:val="7FFF4A65"/>
    <w:rsid w:val="7FFF4EA8"/>
    <w:rsid w:val="8577595A"/>
    <w:rsid w:val="87FB9BFC"/>
    <w:rsid w:val="8DCFADF6"/>
    <w:rsid w:val="98FF1748"/>
    <w:rsid w:val="998A5D10"/>
    <w:rsid w:val="9BB35290"/>
    <w:rsid w:val="9DD7FD32"/>
    <w:rsid w:val="9FBE9F1A"/>
    <w:rsid w:val="9FDBFE33"/>
    <w:rsid w:val="A1FA715C"/>
    <w:rsid w:val="A88E5476"/>
    <w:rsid w:val="AAF3D449"/>
    <w:rsid w:val="AD078C14"/>
    <w:rsid w:val="AFA720BC"/>
    <w:rsid w:val="AFED0E08"/>
    <w:rsid w:val="AFFB6D0C"/>
    <w:rsid w:val="B3370149"/>
    <w:rsid w:val="B3538BCA"/>
    <w:rsid w:val="B37FCDD7"/>
    <w:rsid w:val="B3AE6C70"/>
    <w:rsid w:val="B5EF3030"/>
    <w:rsid w:val="B67878FD"/>
    <w:rsid w:val="B77E48CC"/>
    <w:rsid w:val="B7F19F63"/>
    <w:rsid w:val="B7FFD401"/>
    <w:rsid w:val="BA630C76"/>
    <w:rsid w:val="BB7FE3D1"/>
    <w:rsid w:val="BBBFEA01"/>
    <w:rsid w:val="BBF00300"/>
    <w:rsid w:val="BBFF6147"/>
    <w:rsid w:val="BC3B4E32"/>
    <w:rsid w:val="BC774C57"/>
    <w:rsid w:val="BCB86059"/>
    <w:rsid w:val="BCFFC14F"/>
    <w:rsid w:val="BD7B201D"/>
    <w:rsid w:val="BDE700C7"/>
    <w:rsid w:val="BEC94C53"/>
    <w:rsid w:val="BEEF973F"/>
    <w:rsid w:val="BEFE2959"/>
    <w:rsid w:val="BF1FDA00"/>
    <w:rsid w:val="BF7B2C04"/>
    <w:rsid w:val="BF7F48E6"/>
    <w:rsid w:val="BFBE6839"/>
    <w:rsid w:val="BFD3103D"/>
    <w:rsid w:val="BFFD75AE"/>
    <w:rsid w:val="BFFEDFD1"/>
    <w:rsid w:val="BFFF1EFA"/>
    <w:rsid w:val="C7DA80D5"/>
    <w:rsid w:val="C7DBA134"/>
    <w:rsid w:val="CEB12FBD"/>
    <w:rsid w:val="CFA7D6AA"/>
    <w:rsid w:val="CFBF874F"/>
    <w:rsid w:val="CFD653CB"/>
    <w:rsid w:val="CFDDA236"/>
    <w:rsid w:val="CFE503F5"/>
    <w:rsid w:val="CFF7EA37"/>
    <w:rsid w:val="CFFDBE0F"/>
    <w:rsid w:val="D3E915DC"/>
    <w:rsid w:val="D4FB409D"/>
    <w:rsid w:val="D5EEECA5"/>
    <w:rsid w:val="D6B74C85"/>
    <w:rsid w:val="D72EBDA0"/>
    <w:rsid w:val="D74F4960"/>
    <w:rsid w:val="D759A5DC"/>
    <w:rsid w:val="D7FFC4C4"/>
    <w:rsid w:val="D8F966A0"/>
    <w:rsid w:val="D9BF7692"/>
    <w:rsid w:val="D9FB040D"/>
    <w:rsid w:val="DAE4CFE6"/>
    <w:rsid w:val="DAFFAA51"/>
    <w:rsid w:val="DBF9E820"/>
    <w:rsid w:val="DCFA54CF"/>
    <w:rsid w:val="DD63DB87"/>
    <w:rsid w:val="DD65A871"/>
    <w:rsid w:val="DDCB5E9E"/>
    <w:rsid w:val="DDDF4230"/>
    <w:rsid w:val="DDF76D81"/>
    <w:rsid w:val="DEEF6785"/>
    <w:rsid w:val="DF3CBA7A"/>
    <w:rsid w:val="DFDFAA71"/>
    <w:rsid w:val="DFFD5B4F"/>
    <w:rsid w:val="E3B3C12C"/>
    <w:rsid w:val="E43F473C"/>
    <w:rsid w:val="E6FF2804"/>
    <w:rsid w:val="E6FF6F68"/>
    <w:rsid w:val="E776B15B"/>
    <w:rsid w:val="E7EC958E"/>
    <w:rsid w:val="E7FE5378"/>
    <w:rsid w:val="E7FF5BB4"/>
    <w:rsid w:val="E8FFE782"/>
    <w:rsid w:val="E9933F70"/>
    <w:rsid w:val="E9DE945E"/>
    <w:rsid w:val="EC85071C"/>
    <w:rsid w:val="ED2D4C9E"/>
    <w:rsid w:val="EF7BD901"/>
    <w:rsid w:val="EF7F898D"/>
    <w:rsid w:val="EFBED0DA"/>
    <w:rsid w:val="EFE82768"/>
    <w:rsid w:val="EFEBA963"/>
    <w:rsid w:val="EFEE24FD"/>
    <w:rsid w:val="EFF378A7"/>
    <w:rsid w:val="EFFFD474"/>
    <w:rsid w:val="F1FD592C"/>
    <w:rsid w:val="F2AB8F94"/>
    <w:rsid w:val="F37BD23B"/>
    <w:rsid w:val="F4CE643B"/>
    <w:rsid w:val="F5BB0FCA"/>
    <w:rsid w:val="F5BE00DF"/>
    <w:rsid w:val="F5EB94E4"/>
    <w:rsid w:val="F6967227"/>
    <w:rsid w:val="F6FC1BBA"/>
    <w:rsid w:val="F6FF6D75"/>
    <w:rsid w:val="F76B60E1"/>
    <w:rsid w:val="F77D08D4"/>
    <w:rsid w:val="F77D6644"/>
    <w:rsid w:val="F7D61778"/>
    <w:rsid w:val="F7F785CC"/>
    <w:rsid w:val="F7FEF290"/>
    <w:rsid w:val="F85E309F"/>
    <w:rsid w:val="F9EF870E"/>
    <w:rsid w:val="F9EFCE6B"/>
    <w:rsid w:val="FA35FDD6"/>
    <w:rsid w:val="FAAB6EA2"/>
    <w:rsid w:val="FAFAEF3C"/>
    <w:rsid w:val="FB535836"/>
    <w:rsid w:val="FB6F5506"/>
    <w:rsid w:val="FB7204CA"/>
    <w:rsid w:val="FB9B8273"/>
    <w:rsid w:val="FB9BE14F"/>
    <w:rsid w:val="FBA7BDAF"/>
    <w:rsid w:val="FBBED1C6"/>
    <w:rsid w:val="FBF62B46"/>
    <w:rsid w:val="FBF7DE4B"/>
    <w:rsid w:val="FBFF3AC6"/>
    <w:rsid w:val="FCD3073F"/>
    <w:rsid w:val="FCF9C2B8"/>
    <w:rsid w:val="FDBFD158"/>
    <w:rsid w:val="FDE47544"/>
    <w:rsid w:val="FDFB978E"/>
    <w:rsid w:val="FDFF2346"/>
    <w:rsid w:val="FE5F9C67"/>
    <w:rsid w:val="FE7DE859"/>
    <w:rsid w:val="FE9E5BC6"/>
    <w:rsid w:val="FEA73DD9"/>
    <w:rsid w:val="FEBB7C50"/>
    <w:rsid w:val="FEBD28F0"/>
    <w:rsid w:val="FED6C679"/>
    <w:rsid w:val="FEDF3E9E"/>
    <w:rsid w:val="FEF749CB"/>
    <w:rsid w:val="FF2F2F96"/>
    <w:rsid w:val="FF339154"/>
    <w:rsid w:val="FF3589EC"/>
    <w:rsid w:val="FF3B0BCD"/>
    <w:rsid w:val="FF5DAB4E"/>
    <w:rsid w:val="FF625532"/>
    <w:rsid w:val="FF67CAD4"/>
    <w:rsid w:val="FF6F3088"/>
    <w:rsid w:val="FF76B6C8"/>
    <w:rsid w:val="FF7DBDA4"/>
    <w:rsid w:val="FF7FE51E"/>
    <w:rsid w:val="FF8B3540"/>
    <w:rsid w:val="FF9F6C76"/>
    <w:rsid w:val="FFA3095B"/>
    <w:rsid w:val="FFAB5C62"/>
    <w:rsid w:val="FFBF277C"/>
    <w:rsid w:val="FFBF93A8"/>
    <w:rsid w:val="FFC9EB6B"/>
    <w:rsid w:val="FFCD3F56"/>
    <w:rsid w:val="FFD3777D"/>
    <w:rsid w:val="FFD903D8"/>
    <w:rsid w:val="FFDF1E1C"/>
    <w:rsid w:val="FFE259B6"/>
    <w:rsid w:val="FFEDCF31"/>
    <w:rsid w:val="FFEFDC11"/>
    <w:rsid w:val="FFF98C8B"/>
    <w:rsid w:val="FFFBA3FC"/>
    <w:rsid w:val="FF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9"/>
    <w:pPr>
      <w:spacing w:beforeAutospacing="1" w:afterAutospacing="1"/>
      <w:jc w:val="left"/>
      <w:outlineLvl w:val="0"/>
    </w:pPr>
    <w:rPr>
      <w:rFonts w:ascii="??" w:hAnsi="??"/>
      <w:b/>
      <w:kern w:val="44"/>
      <w:sz w:val="48"/>
      <w:szCs w:val="48"/>
    </w:rPr>
  </w:style>
  <w:style w:type="paragraph" w:styleId="4">
    <w:name w:val="heading 2"/>
    <w:basedOn w:val="1"/>
    <w:next w:val="1"/>
    <w:link w:val="16"/>
    <w:qFormat/>
    <w:uiPriority w:val="99"/>
    <w:pPr>
      <w:spacing w:beforeAutospacing="1" w:afterAutospacing="1"/>
      <w:jc w:val="left"/>
      <w:outlineLvl w:val="1"/>
    </w:pPr>
    <w:rPr>
      <w:rFonts w:ascii="??" w:hAnsi="??"/>
      <w:b/>
      <w:kern w:val="0"/>
      <w:sz w:val="36"/>
      <w:szCs w:val="36"/>
    </w:rPr>
  </w:style>
  <w:style w:type="character" w:default="1" w:styleId="12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5">
    <w:name w:val="annotation text"/>
    <w:basedOn w:val="1"/>
    <w:link w:val="18"/>
    <w:qFormat/>
    <w:uiPriority w:val="99"/>
    <w:pPr>
      <w:jc w:val="left"/>
    </w:pPr>
  </w:style>
  <w:style w:type="paragraph" w:styleId="6">
    <w:name w:val="Plain Text"/>
    <w:basedOn w:val="1"/>
    <w:link w:val="17"/>
    <w:semiHidden/>
    <w:qFormat/>
    <w:uiPriority w:val="99"/>
    <w:rPr>
      <w:rFonts w:ascii="??" w:hAnsi="Courier New" w:eastAsia="Times New Roman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2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styleId="14">
    <w:name w:val="Hyperlink"/>
    <w:basedOn w:val="12"/>
    <w:qFormat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2"/>
    <w:link w:val="3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6">
    <w:name w:val="Heading 2 Char"/>
    <w:basedOn w:val="12"/>
    <w:link w:val="4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7">
    <w:name w:val="Plain Text Char"/>
    <w:basedOn w:val="12"/>
    <w:link w:val="6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8">
    <w:name w:val="Comment Text Char"/>
    <w:basedOn w:val="12"/>
    <w:link w:val="5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9">
    <w:name w:val="Footer Char"/>
    <w:basedOn w:val="12"/>
    <w:link w:val="7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20">
    <w:name w:val="Header Char"/>
    <w:basedOn w:val="12"/>
    <w:link w:val="8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21">
    <w:name w:val="普通(网站)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</w:rPr>
  </w:style>
  <w:style w:type="paragraph" w:customStyle="1" w:styleId="22">
    <w:name w:val="普通 (Web)"/>
    <w:basedOn w:val="1"/>
    <w:qFormat/>
    <w:uiPriority w:val="0"/>
    <w:pPr>
      <w:widowControl/>
      <w:spacing w:before="100" w:after="100" w:line="432" w:lineRule="atLeast"/>
      <w:ind w:firstLine="810"/>
      <w:jc w:val="left"/>
    </w:pPr>
    <w:rPr>
      <w:rFonts w:ascii="仿宋_GB2312" w:hAnsi="Verdana" w:eastAsia="仿宋_GB2312" w:cs="Times New Roman"/>
      <w:spacing w:val="30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  <customShpInfo spid="_x0000_s4098"/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736</Words>
  <Characters>4198</Characters>
  <Lines>1</Lines>
  <Paragraphs>1</Paragraphs>
  <TotalTime>22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2022-03-26T23:29:00Z</dcterms:created>
  <dc:creator>红瓜瓤</dc:creator>
  <cp:lastModifiedBy>pc23</cp:lastModifiedBy>
  <cp:lastPrinted>2023-05-24T09:47:15Z</cp:lastPrinted>
  <dcterms:modified xsi:type="dcterms:W3CDTF">2023-05-24T11:07:44Z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79F489DEBD04440A96728079FFF67E81</vt:lpwstr>
  </property>
  <property fmtid="{D5CDD505-2E9C-101B-9397-08002B2CF9AE}" pid="4" name="commondata">
    <vt:lpwstr>eyJoZGlkIjoiOWIzZWI5ODYzYzdiZTk4MTMwMmM2MmUyZmU3YmUwNTAifQ==</vt:lpwstr>
  </property>
</Properties>
</file>